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66" w:rsidRPr="00C24766" w:rsidRDefault="00C24766" w:rsidP="00C24766">
      <w:pPr>
        <w:rPr>
          <w:rFonts w:eastAsia="Times New Roman"/>
          <w:color w:val="000000"/>
        </w:rPr>
      </w:pPr>
      <w:r w:rsidRPr="00C24766">
        <w:rPr>
          <w:rFonts w:eastAsia="Times New Roman"/>
          <w:color w:val="000000"/>
        </w:rPr>
        <w:t>NORTHERN KENTUCKY LAW REVIEW</w:t>
      </w:r>
    </w:p>
    <w:p w:rsidR="00C24766" w:rsidRPr="00C24766" w:rsidRDefault="00C24766" w:rsidP="00C24766">
      <w:pPr>
        <w:rPr>
          <w:rFonts w:eastAsia="Times New Roman"/>
          <w:color w:val="000000"/>
        </w:rPr>
      </w:pPr>
      <w:proofErr w:type="gramStart"/>
      <w:r w:rsidRPr="00C24766">
        <w:rPr>
          <w:rFonts w:eastAsia="Times New Roman"/>
          <w:color w:val="000000"/>
        </w:rPr>
        <w:t>VOLUME 29, NO.</w:t>
      </w:r>
      <w:proofErr w:type="gramEnd"/>
      <w:r w:rsidRPr="00C24766">
        <w:rPr>
          <w:rFonts w:eastAsia="Times New Roman"/>
          <w:color w:val="000000"/>
        </w:rPr>
        <w:t xml:space="preserve"> 4, PAGES 823-847 (2002) </w:t>
      </w:r>
    </w:p>
    <w:p w:rsidR="00C24766" w:rsidRPr="00C24766" w:rsidRDefault="00C24766" w:rsidP="00C24766">
      <w:pPr>
        <w:rPr>
          <w:rFonts w:eastAsia="Times New Roman"/>
          <w:caps/>
          <w:color w:val="000000"/>
          <w:sz w:val="22"/>
          <w:szCs w:val="20"/>
        </w:rPr>
      </w:pPr>
    </w:p>
    <w:p w:rsidR="00C24766" w:rsidRPr="00C24766" w:rsidRDefault="00C24766" w:rsidP="00C24766">
      <w:pPr>
        <w:jc w:val="center"/>
        <w:rPr>
          <w:rFonts w:eastAsia="Times New Roman"/>
          <w:color w:val="000000"/>
        </w:rPr>
      </w:pPr>
      <w:r w:rsidRPr="00C24766">
        <w:rPr>
          <w:rFonts w:eastAsia="Times New Roman"/>
          <w:b/>
          <w:bCs/>
          <w:caps/>
          <w:color w:val="000000"/>
          <w:sz w:val="48"/>
          <w:szCs w:val="48"/>
        </w:rPr>
        <w:t>What State Constitutions Teach About the Second Amendment</w:t>
      </w:r>
    </w:p>
    <w:p w:rsidR="00C24766" w:rsidRPr="00C24766" w:rsidRDefault="00C24766" w:rsidP="00C24766">
      <w:pPr>
        <w:jc w:val="center"/>
        <w:rPr>
          <w:rFonts w:eastAsia="Times New Roman"/>
          <w:color w:val="000000"/>
          <w:sz w:val="22"/>
          <w:szCs w:val="20"/>
        </w:rPr>
      </w:pPr>
      <w:proofErr w:type="gramStart"/>
      <w:r w:rsidRPr="00C24766">
        <w:rPr>
          <w:rFonts w:eastAsia="Times New Roman"/>
          <w:i/>
          <w:color w:val="000000"/>
          <w:sz w:val="22"/>
          <w:szCs w:val="20"/>
        </w:rPr>
        <w:t>by</w:t>
      </w:r>
      <w:proofErr w:type="gramEnd"/>
      <w:r w:rsidRPr="00C24766">
        <w:rPr>
          <w:rFonts w:eastAsia="Times New Roman"/>
          <w:i/>
          <w:color w:val="000000"/>
          <w:sz w:val="22"/>
          <w:szCs w:val="20"/>
        </w:rPr>
        <w:t xml:space="preserve"> David B. </w:t>
      </w:r>
      <w:proofErr w:type="spellStart"/>
      <w:r w:rsidRPr="00C24766">
        <w:rPr>
          <w:rFonts w:eastAsia="Times New Roman"/>
          <w:i/>
          <w:color w:val="000000"/>
          <w:sz w:val="22"/>
          <w:szCs w:val="20"/>
        </w:rPr>
        <w:t>Kopel</w:t>
      </w:r>
      <w:proofErr w:type="spellEnd"/>
      <w:r w:rsidRPr="00C24766">
        <w:rPr>
          <w:rFonts w:eastAsia="Times New Roman"/>
          <w:color w:val="000000"/>
          <w:sz w:val="22"/>
          <w:vertAlign w:val="superscript"/>
        </w:rPr>
        <w:endnoteReference w:id="1"/>
      </w:r>
      <w:r w:rsidRPr="00C24766">
        <w:rPr>
          <w:rFonts w:eastAsia="Times New Roman"/>
          <w:b/>
          <w:color w:val="000000"/>
          <w:sz w:val="22"/>
          <w:vertAlign w:val="superscript"/>
        </w:rPr>
        <w:t>[1]</w:t>
      </w:r>
    </w:p>
    <w:p w:rsidR="00C24766" w:rsidRPr="00C24766" w:rsidRDefault="00C24766" w:rsidP="00C24766">
      <w:pPr>
        <w:keepNext/>
        <w:widowControl w:val="0"/>
        <w:overflowPunct w:val="0"/>
        <w:autoSpaceDE w:val="0"/>
        <w:autoSpaceDN w:val="0"/>
        <w:adjustRightInd w:val="0"/>
        <w:outlineLvl w:val="0"/>
        <w:rPr>
          <w:rFonts w:eastAsia="Times New Roman"/>
          <w:b/>
          <w:smallCaps/>
          <w:sz w:val="22"/>
          <w:szCs w:val="20"/>
        </w:rPr>
      </w:pPr>
      <w:r w:rsidRPr="00C24766">
        <w:rPr>
          <w:rFonts w:eastAsia="Times New Roman"/>
          <w:b/>
          <w:caps/>
          <w:smallCaps/>
          <w:sz w:val="36"/>
          <w:szCs w:val="20"/>
        </w:rPr>
        <w:t>I. Introduction</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It is well-settled that state constitutions can serve as an aid to interpreting the federal Bill of Rights.</w:t>
      </w:r>
      <w:r w:rsidRPr="00C24766">
        <w:rPr>
          <w:rFonts w:eastAsia="Times New Roman"/>
          <w:color w:val="000000"/>
          <w:sz w:val="22"/>
          <w:vertAlign w:val="superscript"/>
        </w:rPr>
        <w:endnoteReference w:id="2"/>
      </w:r>
      <w:r w:rsidRPr="00C24766">
        <w:rPr>
          <w:rFonts w:eastAsia="Times New Roman"/>
          <w:color w:val="000000"/>
          <w:sz w:val="22"/>
          <w:vertAlign w:val="superscript"/>
        </w:rPr>
        <w:t>[2]</w:t>
      </w:r>
      <w:r w:rsidRPr="00C24766">
        <w:rPr>
          <w:rFonts w:eastAsia="Times New Roman"/>
          <w:color w:val="000000"/>
          <w:sz w:val="22"/>
          <w:szCs w:val="20"/>
        </w:rPr>
        <w:t>Regarding the Second Amendment, state constitutions are especially helpful. First, right to arms provisions are contained in forty-four state constitutions.</w:t>
      </w:r>
      <w:r w:rsidRPr="00C24766">
        <w:rPr>
          <w:rFonts w:eastAsia="Times New Roman"/>
          <w:color w:val="000000"/>
          <w:sz w:val="22"/>
          <w:vertAlign w:val="superscript"/>
        </w:rPr>
        <w:endnoteReference w:id="3"/>
      </w:r>
      <w:r w:rsidRPr="00C24766">
        <w:rPr>
          <w:rFonts w:eastAsia="Times New Roman"/>
          <w:color w:val="000000"/>
          <w:sz w:val="22"/>
          <w:vertAlign w:val="superscript"/>
        </w:rPr>
        <w:t>[3]</w:t>
      </w:r>
      <w:r w:rsidRPr="00C24766">
        <w:rPr>
          <w:rFonts w:eastAsia="Times New Roman"/>
          <w:color w:val="000000"/>
          <w:sz w:val="22"/>
          <w:szCs w:val="20"/>
        </w:rPr>
        <w:t xml:space="preserve"> Few parts of the Bill of Rights have as many state analogues as does the Second Amendment.</w:t>
      </w:r>
      <w:r w:rsidRPr="00C24766">
        <w:rPr>
          <w:rFonts w:eastAsia="Times New Roman"/>
          <w:color w:val="000000"/>
          <w:sz w:val="22"/>
          <w:vertAlign w:val="superscript"/>
        </w:rPr>
        <w:endnoteReference w:id="4"/>
      </w:r>
      <w:r w:rsidRPr="00C24766">
        <w:rPr>
          <w:rFonts w:eastAsia="Times New Roman"/>
          <w:color w:val="000000"/>
          <w:sz w:val="22"/>
          <w:vertAlign w:val="superscript"/>
        </w:rPr>
        <w:t>[4]</w:t>
      </w:r>
      <w:r w:rsidRPr="00C24766">
        <w:rPr>
          <w:rFonts w:eastAsia="Times New Roman"/>
          <w:color w:val="000000"/>
          <w:sz w:val="22"/>
          <w:szCs w:val="20"/>
        </w:rPr>
        <w:t xml:space="preserve"> Second, the state language has been written or amended from 1776 until the present</w:t>
      </w:r>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5"/>
      </w:r>
      <w:r w:rsidRPr="00C24766">
        <w:rPr>
          <w:rFonts w:eastAsia="Times New Roman"/>
          <w:color w:val="000000"/>
          <w:sz w:val="22"/>
          <w:vertAlign w:val="superscript"/>
        </w:rPr>
        <w:t>[5]</w:t>
      </w:r>
      <w:r w:rsidRPr="00C24766">
        <w:rPr>
          <w:rFonts w:eastAsia="Times New Roman"/>
          <w:color w:val="000000"/>
          <w:sz w:val="22"/>
          <w:szCs w:val="20"/>
        </w:rPr>
        <w:t xml:space="preserve"> so we can see how arms rights have or have not changed in a wide variety of American linguistic communities. Third, state arms guarantees have been created or amended by special conventions, by state legislatures, and by initiative and referenda. Thus, we can see how arms rights language is created by both elite and non-elite types of lawmakers.</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A great deal of ink has been spilled trying to discern the intent of the authors of the Second Amendment. If we simply look at how the same words in the Second Amendment have been used in state constitutions, we find that these words have had a stable, consistent meaning throughout American history. From 1776 until the present, the words have guaranteed a right of individuals to own and carry guns. </w:t>
      </w:r>
      <w:r w:rsidRPr="00C24766">
        <w:rPr>
          <w:rFonts w:eastAsia="Times New Roman"/>
          <w:color w:val="000000"/>
          <w:sz w:val="22"/>
          <w:szCs w:val="20"/>
        </w:rPr>
        <w:tab/>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At least regarding gun rights, modern Americans speak the same language as the founders.  Since 1963, the people of Alaska, Connecticut, Delaware, Florida, Georgia, Idaho, Illinois, Louisiana, Maine, Michigan, Montana, Nebraska, Nevada, New Hampshire, New Mexico, North Carolina, Utah, Virginia, West Virginia, and Wisconsin have chosen, either through their legislature or through a direct vote, to add a right to arms to their state constitution, to re-adopt the right to arms, or to strengthen an existing right. In every state where the people have had the opportunity to vote directly, they have voted for the right to arms by overwhelming margins.</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In this article, I examine each of the state constitutions that contain an arms rights guarantee. For each state, I detail how the state arms right has been interpreted and what implications about the Second Amendment may be drawn from the language of the state provision.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Throughout the analysis, several key questions recur: </w:t>
      </w:r>
    </w:p>
    <w:p w:rsidR="00C24766" w:rsidRPr="00C24766" w:rsidRDefault="00C24766" w:rsidP="00C24766">
      <w:pPr>
        <w:numPr>
          <w:ilvl w:val="0"/>
          <w:numId w:val="3"/>
        </w:numPr>
        <w:tabs>
          <w:tab w:val="left" w:pos="1440"/>
        </w:tabs>
        <w:jc w:val="both"/>
        <w:rPr>
          <w:rFonts w:eastAsia="Times New Roman"/>
          <w:color w:val="000000"/>
          <w:sz w:val="22"/>
          <w:szCs w:val="20"/>
        </w:rPr>
      </w:pPr>
      <w:r w:rsidRPr="00C24766">
        <w:rPr>
          <w:rFonts w:eastAsia="Times New Roman"/>
          <w:color w:val="000000"/>
          <w:sz w:val="22"/>
          <w:szCs w:val="20"/>
        </w:rPr>
        <w:t>When the Second Amendment was written and adopted, was the language chosen already familiar as guaranteeing and individual’s right to keep and bear arms, or was the language familiar as protecting the power of states over their own militias?</w:t>
      </w:r>
    </w:p>
    <w:p w:rsidR="00C24766" w:rsidRPr="00C24766" w:rsidRDefault="00C24766" w:rsidP="00C24766">
      <w:pPr>
        <w:numPr>
          <w:ilvl w:val="0"/>
          <w:numId w:val="3"/>
        </w:numPr>
        <w:tabs>
          <w:tab w:val="left" w:pos="1440"/>
        </w:tabs>
        <w:jc w:val="both"/>
        <w:rPr>
          <w:rFonts w:eastAsia="Times New Roman"/>
          <w:color w:val="000000"/>
          <w:sz w:val="22"/>
          <w:szCs w:val="20"/>
        </w:rPr>
      </w:pPr>
      <w:r w:rsidRPr="00C24766">
        <w:rPr>
          <w:rFonts w:eastAsia="Times New Roman"/>
          <w:color w:val="000000"/>
          <w:sz w:val="22"/>
          <w:szCs w:val="20"/>
        </w:rPr>
        <w:t>Is the phrase “bear arms” a term of art referring exclusively to bearing arms while in militia service, or is the phrase used in its more ordinary sense to encompass bearing arms for a variety of purposes, such as personal or family defense or sporting purposes?</w:t>
      </w:r>
    </w:p>
    <w:p w:rsidR="00C24766" w:rsidRPr="00C24766" w:rsidRDefault="00C24766" w:rsidP="00C24766">
      <w:pPr>
        <w:numPr>
          <w:ilvl w:val="0"/>
          <w:numId w:val="3"/>
        </w:numPr>
        <w:tabs>
          <w:tab w:val="left" w:pos="1440"/>
        </w:tabs>
        <w:jc w:val="both"/>
        <w:rPr>
          <w:rFonts w:eastAsia="Times New Roman"/>
          <w:color w:val="000000"/>
          <w:sz w:val="22"/>
          <w:szCs w:val="20"/>
        </w:rPr>
      </w:pPr>
      <w:r w:rsidRPr="00C24766">
        <w:rPr>
          <w:rFonts w:eastAsia="Times New Roman"/>
          <w:color w:val="000000"/>
          <w:sz w:val="22"/>
          <w:szCs w:val="20"/>
        </w:rPr>
        <w:t>When states adopted the Second Amendment verbatim in their own state constitutions, what did this particular language do?</w:t>
      </w:r>
    </w:p>
    <w:p w:rsidR="00C24766" w:rsidRPr="00C24766" w:rsidRDefault="00C24766" w:rsidP="00C24766">
      <w:pPr>
        <w:numPr>
          <w:ilvl w:val="0"/>
          <w:numId w:val="3"/>
        </w:numPr>
        <w:tabs>
          <w:tab w:val="left" w:pos="1440"/>
        </w:tabs>
        <w:jc w:val="both"/>
        <w:rPr>
          <w:rFonts w:eastAsia="Times New Roman"/>
          <w:color w:val="000000"/>
          <w:sz w:val="22"/>
          <w:szCs w:val="20"/>
        </w:rPr>
      </w:pPr>
      <w:r w:rsidRPr="00C24766">
        <w:rPr>
          <w:rFonts w:eastAsia="Times New Roman"/>
          <w:color w:val="000000"/>
          <w:sz w:val="22"/>
          <w:szCs w:val="20"/>
        </w:rPr>
        <w:t>What is the effect when concerns about standing armies are expressed contemporaneously or even in the same sentence as arms rights language?</w:t>
      </w:r>
    </w:p>
    <w:p w:rsidR="00C24766" w:rsidRPr="00C24766" w:rsidRDefault="00C24766" w:rsidP="00C24766">
      <w:pPr>
        <w:numPr>
          <w:ilvl w:val="0"/>
          <w:numId w:val="3"/>
        </w:numPr>
        <w:tabs>
          <w:tab w:val="left" w:pos="1440"/>
        </w:tabs>
        <w:jc w:val="both"/>
        <w:rPr>
          <w:rFonts w:eastAsia="Times New Roman"/>
          <w:color w:val="000000"/>
          <w:sz w:val="22"/>
          <w:szCs w:val="20"/>
        </w:rPr>
      </w:pPr>
      <w:r w:rsidRPr="00C24766">
        <w:rPr>
          <w:rFonts w:eastAsia="Times New Roman"/>
          <w:color w:val="000000"/>
          <w:sz w:val="22"/>
          <w:szCs w:val="20"/>
        </w:rPr>
        <w:t>What is the implication when states create explicit exceptions to the right to arms, such as excepting the concealed carrying of weapons, or excepting large assemblies of armed men, or reserving the power to create certain types of gun laws?</w:t>
      </w:r>
    </w:p>
    <w:p w:rsidR="00C24766" w:rsidRPr="00C24766" w:rsidRDefault="00C24766" w:rsidP="00C24766">
      <w:pPr>
        <w:jc w:val="both"/>
        <w:rPr>
          <w:rFonts w:eastAsia="Times New Roman"/>
          <w:b/>
          <w:bCs/>
          <w:caps/>
          <w:color w:val="000000"/>
          <w:szCs w:val="20"/>
        </w:rPr>
      </w:pPr>
      <w:r w:rsidRPr="00C24766">
        <w:rPr>
          <w:rFonts w:eastAsia="Times New Roman"/>
          <w:b/>
          <w:bCs/>
          <w:caps/>
          <w:color w:val="000000"/>
          <w:sz w:val="36"/>
          <w:szCs w:val="20"/>
        </w:rPr>
        <w:t>I. State Constitutions Contemporaneous with the Second Amendment</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The Second Amendment to the United States Constitution was written in 1789 and sent by Congress to the States for ratification.</w:t>
      </w:r>
      <w:r w:rsidRPr="00C24766">
        <w:rPr>
          <w:rFonts w:eastAsia="Times New Roman"/>
          <w:color w:val="000000"/>
          <w:sz w:val="22"/>
          <w:vertAlign w:val="superscript"/>
        </w:rPr>
        <w:endnoteReference w:id="6"/>
      </w:r>
      <w:r w:rsidRPr="00C24766">
        <w:rPr>
          <w:rFonts w:eastAsia="Times New Roman"/>
          <w:color w:val="000000"/>
          <w:sz w:val="22"/>
          <w:vertAlign w:val="superscript"/>
        </w:rPr>
        <w:t>[6]</w:t>
      </w:r>
      <w:r w:rsidRPr="00C24766">
        <w:rPr>
          <w:rFonts w:eastAsia="Times New Roman"/>
          <w:color w:val="000000"/>
          <w:sz w:val="22"/>
          <w:szCs w:val="20"/>
        </w:rPr>
        <w:t xml:space="preserve"> Ratification was achieved in 1791.</w:t>
      </w:r>
      <w:r w:rsidRPr="00C24766">
        <w:rPr>
          <w:rFonts w:eastAsia="Times New Roman"/>
          <w:color w:val="000000"/>
          <w:sz w:val="22"/>
          <w:vertAlign w:val="superscript"/>
        </w:rPr>
        <w:endnoteReference w:id="7"/>
      </w:r>
      <w:r w:rsidRPr="00C24766">
        <w:rPr>
          <w:rFonts w:eastAsia="Times New Roman"/>
          <w:color w:val="000000"/>
          <w:sz w:val="22"/>
          <w:vertAlign w:val="superscript"/>
        </w:rPr>
        <w:t>[7]</w:t>
      </w:r>
      <w:r w:rsidRPr="00C24766">
        <w:rPr>
          <w:rFonts w:eastAsia="Times New Roman"/>
          <w:color w:val="000000"/>
          <w:sz w:val="22"/>
          <w:szCs w:val="20"/>
        </w:rPr>
        <w:t xml:space="preserve"> Four state constitutions from the very early Republic --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Vermont</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 -- provide important evidence about the meaning of the right to arms in the period surrounding the adoption of the Second Amendment. </w:t>
      </w:r>
    </w:p>
    <w:p w:rsidR="00C24766" w:rsidRPr="00C24766" w:rsidRDefault="00C24766" w:rsidP="00C24766">
      <w:pPr>
        <w:numPr>
          <w:ilvl w:val="12"/>
          <w:numId w:val="0"/>
        </w:numPr>
        <w:jc w:val="both"/>
        <w:rPr>
          <w:rFonts w:eastAsia="Times New Roman"/>
          <w:color w:val="000000"/>
        </w:rPr>
      </w:pPr>
      <w:smartTag w:uri="urn:schemas-microsoft-com:office:smarttags" w:element="State">
        <w:smartTag w:uri="urn:schemas-microsoft-com:office:smarttags" w:element="place">
          <w:r w:rsidRPr="00C24766">
            <w:rPr>
              <w:rFonts w:eastAsia="Times New Roman"/>
              <w:b/>
              <w:color w:val="000000"/>
              <w:sz w:val="22"/>
              <w:szCs w:val="20"/>
            </w:rPr>
            <w:t>Pennsylvania</w:t>
          </w:r>
        </w:smartTag>
      </w:smartTag>
      <w:r w:rsidRPr="00C24766">
        <w:rPr>
          <w:rFonts w:eastAsia="Times New Roman"/>
          <w:color w:val="000000"/>
          <w:sz w:val="22"/>
          <w:szCs w:val="20"/>
        </w:rPr>
        <w:t xml:space="preserve">: The present-day Pennsylvania Constitution, using language adopted in 1790, declares: “The right of the citizens to bear arms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 shall not be questioned.”</w:t>
      </w:r>
      <w:r w:rsidRPr="00C24766">
        <w:rPr>
          <w:rFonts w:eastAsia="Times New Roman"/>
          <w:color w:val="000000"/>
          <w:sz w:val="22"/>
          <w:vertAlign w:val="superscript"/>
        </w:rPr>
        <w:endnoteReference w:id="8"/>
      </w:r>
      <w:r w:rsidRPr="00C24766">
        <w:rPr>
          <w:rFonts w:eastAsia="Times New Roman"/>
          <w:color w:val="000000"/>
          <w:sz w:val="22"/>
          <w:vertAlign w:val="superscript"/>
        </w:rPr>
        <w:t>[8]</w:t>
      </w:r>
    </w:p>
    <w:p w:rsidR="00C24766" w:rsidRPr="00C24766" w:rsidRDefault="00C24766" w:rsidP="00C24766">
      <w:pPr>
        <w:numPr>
          <w:ilvl w:val="12"/>
          <w:numId w:val="0"/>
        </w:numPr>
        <w:jc w:val="both"/>
        <w:rPr>
          <w:rFonts w:eastAsia="Times New Roman"/>
          <w:color w:val="000000"/>
          <w:sz w:val="22"/>
          <w:szCs w:val="20"/>
        </w:rPr>
      </w:pPr>
      <w:r w:rsidRPr="00C24766">
        <w:rPr>
          <w:rFonts w:eastAsia="Times New Roman"/>
          <w:color w:val="000000"/>
          <w:sz w:val="22"/>
          <w:szCs w:val="20"/>
        </w:rPr>
        <w:lastRenderedPageBreak/>
        <w:tab/>
        <w:t xml:space="preserve">Pennsylvania’s first constitution, adopted in 1776, stated in its Declaration of Rights: “That the people have a right to bear arms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 and as standing armies in the time of peace are dangerous to liberty, they ought not to be kept up; And that the military should be kept under strict subordination, to, and governed by, the civil power.”</w:t>
      </w:r>
      <w:r w:rsidRPr="00C24766">
        <w:rPr>
          <w:rFonts w:eastAsia="Times New Roman"/>
          <w:color w:val="000000"/>
          <w:sz w:val="22"/>
          <w:vertAlign w:val="superscript"/>
        </w:rPr>
        <w:endnoteReference w:id="9"/>
      </w:r>
      <w:r w:rsidRPr="00C24766">
        <w:rPr>
          <w:rFonts w:eastAsia="Times New Roman"/>
          <w:color w:val="000000"/>
          <w:sz w:val="22"/>
          <w:vertAlign w:val="superscript"/>
        </w:rPr>
        <w:t>[9]</w:t>
      </w:r>
    </w:p>
    <w:p w:rsidR="00C24766" w:rsidRPr="00C24766" w:rsidRDefault="00C24766" w:rsidP="00C24766">
      <w:pPr>
        <w:numPr>
          <w:ilvl w:val="12"/>
          <w:numId w:val="0"/>
        </w:numPr>
        <w:ind w:firstLine="720"/>
        <w:jc w:val="both"/>
        <w:rPr>
          <w:rFonts w:eastAsia="Times New Roman"/>
          <w:color w:val="000000"/>
        </w:rPr>
      </w:pPr>
      <w:r w:rsidRPr="00C24766">
        <w:rPr>
          <w:rFonts w:eastAsia="Times New Roman"/>
          <w:color w:val="000000"/>
          <w:sz w:val="22"/>
          <w:szCs w:val="20"/>
        </w:rPr>
        <w:t>It is sometimes claimed that the phrase “bear arms” in the Second Amendment is a term of art referring only to bearing arms while serving in a militia.</w:t>
      </w:r>
      <w:r w:rsidRPr="00C24766">
        <w:rPr>
          <w:rFonts w:eastAsia="Times New Roman"/>
          <w:color w:val="000000"/>
          <w:sz w:val="22"/>
          <w:vertAlign w:val="superscript"/>
        </w:rPr>
        <w:endnoteReference w:id="10"/>
      </w:r>
      <w:r w:rsidRPr="00C24766">
        <w:rPr>
          <w:rFonts w:eastAsia="Times New Roman"/>
          <w:color w:val="000000"/>
          <w:sz w:val="22"/>
          <w:vertAlign w:val="superscript"/>
        </w:rPr>
        <w:t>[10]</w:t>
      </w:r>
      <w:r w:rsidRPr="00C24766">
        <w:rPr>
          <w:rFonts w:eastAsia="Times New Roman"/>
          <w:color w:val="000000"/>
          <w:sz w:val="22"/>
          <w:szCs w:val="20"/>
        </w:rPr>
        <w:t xml:space="preserve"> Both in 1790 and 1776, the drafters in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used the language “bear arms in the [or 'for']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w:t>
      </w:r>
      <w:r w:rsidRPr="00C24766">
        <w:rPr>
          <w:rFonts w:eastAsia="Times New Roman"/>
          <w:color w:val="000000"/>
          <w:sz w:val="22"/>
          <w:vertAlign w:val="superscript"/>
        </w:rPr>
        <w:endnoteReference w:id="11"/>
      </w:r>
      <w:r w:rsidRPr="00C24766">
        <w:rPr>
          <w:rFonts w:eastAsia="Times New Roman"/>
          <w:color w:val="000000"/>
          <w:sz w:val="22"/>
          <w:vertAlign w:val="superscript"/>
        </w:rPr>
        <w:t>[11]</w:t>
      </w:r>
      <w:r w:rsidRPr="00C24766">
        <w:rPr>
          <w:rFonts w:eastAsia="Times New Roman"/>
          <w:color w:val="000000"/>
          <w:sz w:val="22"/>
          <w:szCs w:val="20"/>
        </w:rPr>
        <w:t xml:space="preserve"> This language has always been interpreted by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courts to protect the right of all Pennsylvanians, not just militiamen, to possess firearms.</w:t>
      </w:r>
      <w:r w:rsidRPr="00C24766">
        <w:rPr>
          <w:rFonts w:eastAsia="Times New Roman"/>
          <w:color w:val="000000"/>
          <w:sz w:val="22"/>
          <w:vertAlign w:val="superscript"/>
        </w:rPr>
        <w:endnoteReference w:id="12"/>
      </w:r>
      <w:r w:rsidRPr="00C24766">
        <w:rPr>
          <w:rFonts w:eastAsia="Times New Roman"/>
          <w:color w:val="000000"/>
          <w:sz w:val="22"/>
          <w:vertAlign w:val="superscript"/>
        </w:rPr>
        <w:t>[12]</w:t>
      </w:r>
      <w:r w:rsidRPr="00C24766">
        <w:rPr>
          <w:rFonts w:eastAsia="Times New Roman"/>
          <w:color w:val="000000"/>
          <w:sz w:val="22"/>
          <w:szCs w:val="20"/>
        </w:rPr>
        <w:t xml:space="preserve"> The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language </w:t>
      </w:r>
      <w:proofErr w:type="gramStart"/>
      <w:r w:rsidRPr="00C24766">
        <w:rPr>
          <w:rFonts w:eastAsia="Times New Roman"/>
          <w:color w:val="000000"/>
          <w:sz w:val="22"/>
          <w:szCs w:val="20"/>
        </w:rPr>
        <w:t>suggests  that</w:t>
      </w:r>
      <w:proofErr w:type="gramEnd"/>
      <w:r w:rsidRPr="00C24766">
        <w:rPr>
          <w:rFonts w:eastAsia="Times New Roman"/>
          <w:color w:val="000000"/>
          <w:sz w:val="22"/>
          <w:szCs w:val="20"/>
        </w:rPr>
        <w:t xml:space="preserve"> “bear arms” is </w:t>
      </w:r>
      <w:r w:rsidRPr="00C24766">
        <w:rPr>
          <w:rFonts w:eastAsia="Times New Roman"/>
          <w:i/>
          <w:color w:val="000000"/>
          <w:sz w:val="22"/>
          <w:szCs w:val="20"/>
        </w:rPr>
        <w:t xml:space="preserve">not </w:t>
      </w:r>
      <w:r w:rsidRPr="00C24766">
        <w:rPr>
          <w:rFonts w:eastAsia="Times New Roman"/>
          <w:color w:val="000000"/>
          <w:sz w:val="22"/>
          <w:szCs w:val="20"/>
        </w:rPr>
        <w:t>a term of art which means only militia usage and nothing else.</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A recent opinion by Justice Ruth Bader Ginsburg suggests that “bear arms” continues to encompass carrying guns for diverse purposes.</w:t>
      </w:r>
      <w:r w:rsidRPr="00C24766">
        <w:rPr>
          <w:rFonts w:eastAsia="Times New Roman"/>
          <w:color w:val="000000"/>
          <w:sz w:val="22"/>
          <w:vertAlign w:val="superscript"/>
        </w:rPr>
        <w:endnoteReference w:id="13"/>
      </w:r>
      <w:r w:rsidRPr="00C24766">
        <w:rPr>
          <w:rFonts w:eastAsia="Times New Roman"/>
          <w:color w:val="000000"/>
          <w:sz w:val="22"/>
          <w:vertAlign w:val="superscript"/>
        </w:rPr>
        <w:t>[13]</w:t>
      </w:r>
      <w:r w:rsidRPr="00C24766">
        <w:rPr>
          <w:rFonts w:eastAsia="Times New Roman"/>
          <w:color w:val="000000"/>
          <w:sz w:val="22"/>
          <w:szCs w:val="20"/>
        </w:rPr>
        <w:t xml:space="preserve"> Analyzing the statutory phrase “carries a firearm,” she wrote:</w:t>
      </w:r>
    </w:p>
    <w:p w:rsidR="00C24766" w:rsidRPr="00C24766" w:rsidRDefault="00C24766" w:rsidP="00C24766">
      <w:pPr>
        <w:numPr>
          <w:ilvl w:val="12"/>
          <w:numId w:val="0"/>
        </w:numPr>
        <w:ind w:left="720"/>
        <w:jc w:val="both"/>
        <w:rPr>
          <w:rFonts w:eastAsia="Times New Roman"/>
          <w:color w:val="000000"/>
          <w:sz w:val="22"/>
          <w:szCs w:val="20"/>
        </w:rPr>
      </w:pPr>
      <w:r w:rsidRPr="00C24766">
        <w:rPr>
          <w:rFonts w:eastAsia="Times New Roman"/>
          <w:color w:val="000000"/>
          <w:sz w:val="22"/>
          <w:szCs w:val="20"/>
        </w:rPr>
        <w:t>Surely a most familiar meaning is, as the Constitution's Second Amendment (“keep and bear Arms”) and Black's Law Dictionary indicate, “wear, bear, or carry...upon the person or in the clothing or in a pocket, for the purpose...of being armed and ready for offensive or defense action in case of a conflict with another person.”</w:t>
      </w:r>
      <w:r w:rsidRPr="00C24766">
        <w:rPr>
          <w:rFonts w:eastAsia="Times New Roman"/>
          <w:color w:val="000000"/>
          <w:sz w:val="22"/>
          <w:vertAlign w:val="superscript"/>
        </w:rPr>
        <w:endnoteReference w:id="14"/>
      </w:r>
      <w:r w:rsidRPr="00C24766">
        <w:rPr>
          <w:rFonts w:eastAsia="Times New Roman"/>
          <w:color w:val="000000"/>
          <w:sz w:val="22"/>
          <w:vertAlign w:val="superscript"/>
        </w:rPr>
        <w:t>[14]</w:t>
      </w:r>
    </w:p>
    <w:p w:rsidR="00C24766" w:rsidRPr="00C24766" w:rsidRDefault="00C24766" w:rsidP="00C24766">
      <w:pPr>
        <w:numPr>
          <w:ilvl w:val="12"/>
          <w:numId w:val="0"/>
        </w:numPr>
        <w:jc w:val="both"/>
        <w:rPr>
          <w:rFonts w:eastAsia="Times New Roman"/>
          <w:color w:val="000000"/>
          <w:sz w:val="22"/>
        </w:rPr>
      </w:pPr>
      <w:smartTag w:uri="urn:schemas-microsoft-com:office:smarttags" w:element="State">
        <w:smartTag w:uri="urn:schemas-microsoft-com:office:smarttags" w:element="place">
          <w:r w:rsidRPr="00C24766">
            <w:rPr>
              <w:rFonts w:eastAsia="Times New Roman"/>
              <w:b/>
              <w:color w:val="000000"/>
              <w:sz w:val="22"/>
            </w:rPr>
            <w:t>Vermont</w:t>
          </w:r>
        </w:smartTag>
      </w:smartTag>
      <w:r w:rsidRPr="00C24766">
        <w:rPr>
          <w:rFonts w:eastAsia="Times New Roman"/>
          <w:b/>
          <w:color w:val="000000"/>
          <w:sz w:val="22"/>
        </w:rPr>
        <w:t xml:space="preserve">:  </w:t>
      </w:r>
      <w:r w:rsidRPr="00C24766">
        <w:rPr>
          <w:rFonts w:eastAsia="Times New Roman"/>
          <w:color w:val="000000"/>
          <w:sz w:val="22"/>
        </w:rPr>
        <w:t>Adopted in 1777, the Vermont Constitution closely tracks the Pennsylvania Constitution.</w:t>
      </w:r>
      <w:r w:rsidRPr="00C24766">
        <w:rPr>
          <w:rFonts w:eastAsia="Times New Roman"/>
          <w:color w:val="000000"/>
          <w:sz w:val="22"/>
          <w:vertAlign w:val="superscript"/>
        </w:rPr>
        <w:endnoteReference w:id="15"/>
      </w:r>
      <w:r w:rsidRPr="00C24766">
        <w:rPr>
          <w:rFonts w:eastAsia="Times New Roman"/>
          <w:color w:val="000000"/>
          <w:sz w:val="22"/>
          <w:vertAlign w:val="superscript"/>
        </w:rPr>
        <w:t>[15</w:t>
      </w:r>
      <w:proofErr w:type="gramStart"/>
      <w:r w:rsidRPr="00C24766">
        <w:rPr>
          <w:rFonts w:eastAsia="Times New Roman"/>
          <w:color w:val="000000"/>
          <w:sz w:val="22"/>
          <w:vertAlign w:val="superscript"/>
        </w:rPr>
        <w:t>]</w:t>
      </w:r>
      <w:r w:rsidRPr="00C24766">
        <w:rPr>
          <w:rFonts w:eastAsia="Times New Roman"/>
          <w:color w:val="000000"/>
          <w:sz w:val="22"/>
        </w:rPr>
        <w:t xml:space="preserve">  It</w:t>
      </w:r>
      <w:proofErr w:type="gramEnd"/>
      <w:r w:rsidRPr="00C24766">
        <w:rPr>
          <w:rFonts w:eastAsia="Times New Roman"/>
          <w:color w:val="000000"/>
          <w:sz w:val="22"/>
        </w:rPr>
        <w:t xml:space="preserve"> states “That the people have a right to bear arms for the </w:t>
      </w:r>
      <w:proofErr w:type="spellStart"/>
      <w:r w:rsidRPr="00C24766">
        <w:rPr>
          <w:rFonts w:eastAsia="Times New Roman"/>
          <w:color w:val="000000"/>
          <w:sz w:val="22"/>
        </w:rPr>
        <w:t>defence</w:t>
      </w:r>
      <w:proofErr w:type="spellEnd"/>
      <w:r w:rsidRPr="00C24766">
        <w:rPr>
          <w:rFonts w:eastAsia="Times New Roman"/>
          <w:color w:val="000000"/>
          <w:sz w:val="22"/>
        </w:rPr>
        <w:t xml:space="preserve"> of themselves and the State -- and as standing armies in time of peace are dangerous to liberty, they ought not to be kept up; and that the military should be kept under strict subordination to and governed by the civil power.”</w:t>
      </w:r>
      <w:r w:rsidRPr="00C24766">
        <w:rPr>
          <w:rFonts w:eastAsia="Times New Roman"/>
          <w:color w:val="000000"/>
          <w:sz w:val="22"/>
          <w:vertAlign w:val="superscript"/>
        </w:rPr>
        <w:endnoteReference w:id="16"/>
      </w:r>
      <w:r w:rsidRPr="00C24766">
        <w:rPr>
          <w:rFonts w:eastAsia="Times New Roman"/>
          <w:color w:val="000000"/>
          <w:sz w:val="22"/>
          <w:vertAlign w:val="superscript"/>
        </w:rPr>
        <w:t>[16]</w:t>
      </w:r>
      <w:r w:rsidRPr="00C24766">
        <w:rPr>
          <w:rFonts w:eastAsia="Times New Roman"/>
          <w:color w:val="000000"/>
          <w:sz w:val="22"/>
        </w:rPr>
        <w:br/>
        <w:t xml:space="preserve">          Vermont, like Pennsylvania, contributed part of this language to the federal Second Amendment, evidencing the state’s interpretation that recognition of the people’s right to bear arms was a recognition of an individual right. </w:t>
      </w:r>
      <w:smartTag w:uri="urn:schemas-microsoft-com:office:smarttags" w:element="State">
        <w:smartTag w:uri="urn:schemas-microsoft-com:office:smarttags" w:element="place">
          <w:r w:rsidRPr="00C24766">
            <w:rPr>
              <w:rFonts w:eastAsia="Times New Roman"/>
              <w:color w:val="000000"/>
              <w:sz w:val="22"/>
            </w:rPr>
            <w:t>Vermont</w:t>
          </w:r>
        </w:smartTag>
      </w:smartTag>
      <w:r w:rsidRPr="00C24766">
        <w:rPr>
          <w:rFonts w:eastAsia="Times New Roman"/>
          <w:color w:val="000000"/>
          <w:sz w:val="22"/>
        </w:rPr>
        <w:t xml:space="preserve"> courts have been especially strict in protecting individual arms rights when interpreting the state constitution. For example, an 1892 decision declared that the government could not require licenses for the carrying of concealed weapons.</w:t>
      </w:r>
      <w:r w:rsidRPr="00C24766">
        <w:rPr>
          <w:rFonts w:eastAsia="Times New Roman"/>
          <w:color w:val="000000"/>
          <w:sz w:val="22"/>
          <w:vertAlign w:val="superscript"/>
        </w:rPr>
        <w:endnoteReference w:id="17"/>
      </w:r>
      <w:r w:rsidRPr="00C24766">
        <w:rPr>
          <w:rFonts w:eastAsia="Times New Roman"/>
          <w:color w:val="000000"/>
          <w:sz w:val="22"/>
          <w:vertAlign w:val="superscript"/>
        </w:rPr>
        <w:t>[17]</w:t>
      </w:r>
      <w:r w:rsidRPr="00C24766">
        <w:rPr>
          <w:rFonts w:eastAsia="Times New Roman"/>
          <w:color w:val="000000"/>
          <w:sz w:val="22"/>
        </w:rPr>
        <w:br/>
        <w:t xml:space="preserve">          One of the most important elements of </w:t>
      </w:r>
      <w:smartTag w:uri="urn:schemas-microsoft-com:office:smarttags" w:element="State">
        <w:smartTag w:uri="urn:schemas-microsoft-com:office:smarttags" w:element="place">
          <w:r w:rsidRPr="00C24766">
            <w:rPr>
              <w:rFonts w:eastAsia="Times New Roman"/>
              <w:color w:val="000000"/>
              <w:sz w:val="22"/>
            </w:rPr>
            <w:t>Vermont</w:t>
          </w:r>
        </w:smartTag>
      </w:smartTag>
      <w:r w:rsidRPr="00C24766">
        <w:rPr>
          <w:rFonts w:eastAsia="Times New Roman"/>
          <w:color w:val="000000"/>
          <w:sz w:val="22"/>
        </w:rPr>
        <w:t xml:space="preserve">’s right to arms language is the juxtaposition of a right to bear arms with a denunciation of standing armies. The fact that </w:t>
      </w:r>
      <w:smartTag w:uri="urn:schemas-microsoft-com:office:smarttags" w:element="State">
        <w:smartTag w:uri="urn:schemas-microsoft-com:office:smarttags" w:element="place">
          <w:r w:rsidRPr="00C24766">
            <w:rPr>
              <w:rFonts w:eastAsia="Times New Roman"/>
              <w:color w:val="000000"/>
              <w:sz w:val="22"/>
            </w:rPr>
            <w:t>Vermont</w:t>
          </w:r>
        </w:smartTag>
      </w:smartTag>
      <w:r w:rsidRPr="00C24766">
        <w:rPr>
          <w:rFonts w:eastAsia="Times New Roman"/>
          <w:color w:val="000000"/>
          <w:sz w:val="22"/>
          <w:szCs w:val="22"/>
        </w:rPr>
        <w:t>'</w:t>
      </w:r>
      <w:r w:rsidRPr="00C24766">
        <w:rPr>
          <w:rFonts w:eastAsia="Times New Roman"/>
          <w:color w:val="000000"/>
          <w:sz w:val="22"/>
        </w:rPr>
        <w:t xml:space="preserve">s right to bear arms has been interpreted as individual shows that concern about standing armies does not negate the guarantee of a fundamental personal right to arms. </w:t>
      </w:r>
    </w:p>
    <w:p w:rsidR="00C24766" w:rsidRPr="00C24766" w:rsidRDefault="00C24766" w:rsidP="00C24766">
      <w:pPr>
        <w:numPr>
          <w:ilvl w:val="12"/>
          <w:numId w:val="0"/>
        </w:numPr>
        <w:jc w:val="both"/>
        <w:rPr>
          <w:rFonts w:eastAsia="Times New Roman"/>
          <w:color w:val="000000"/>
        </w:rPr>
      </w:pPr>
      <w:smartTag w:uri="urn:schemas-microsoft-com:office:smarttags" w:element="State">
        <w:smartTag w:uri="urn:schemas-microsoft-com:office:smarttags" w:element="place">
          <w:r w:rsidRPr="00C24766">
            <w:rPr>
              <w:rFonts w:eastAsia="Times New Roman"/>
              <w:b/>
              <w:color w:val="000000"/>
              <w:sz w:val="22"/>
              <w:szCs w:val="20"/>
            </w:rPr>
            <w:t>North Carolina</w:t>
          </w:r>
        </w:smartTag>
      </w:smartTag>
      <w:r w:rsidRPr="00C24766">
        <w:rPr>
          <w:rFonts w:eastAsia="Times New Roman"/>
          <w:color w:val="000000"/>
          <w:sz w:val="22"/>
          <w:szCs w:val="20"/>
        </w:rPr>
        <w:t xml:space="preserve">: Like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adopted an arms right in 1776.</w:t>
      </w:r>
      <w:r w:rsidRPr="00C24766">
        <w:rPr>
          <w:rFonts w:eastAsia="Times New Roman"/>
          <w:color w:val="000000"/>
          <w:sz w:val="22"/>
          <w:vertAlign w:val="superscript"/>
        </w:rPr>
        <w:endnoteReference w:id="18"/>
      </w:r>
      <w:r w:rsidRPr="00C24766">
        <w:rPr>
          <w:rFonts w:eastAsia="Times New Roman"/>
          <w:color w:val="000000"/>
          <w:sz w:val="22"/>
          <w:vertAlign w:val="superscript"/>
        </w:rPr>
        <w:t>[18</w:t>
      </w:r>
      <w:proofErr w:type="gramStart"/>
      <w:r w:rsidRPr="00C24766">
        <w:rPr>
          <w:rFonts w:eastAsia="Times New Roman"/>
          <w:color w:val="000000"/>
          <w:sz w:val="22"/>
          <w:vertAlign w:val="superscript"/>
        </w:rPr>
        <w:t>]</w:t>
      </w:r>
      <w:r w:rsidRPr="00C24766">
        <w:rPr>
          <w:rFonts w:eastAsia="Times New Roman"/>
          <w:color w:val="000000"/>
          <w:sz w:val="22"/>
          <w:szCs w:val="20"/>
        </w:rPr>
        <w:t xml:space="preserve">  The</w:t>
      </w:r>
      <w:proofErr w:type="gramEnd"/>
      <w:r w:rsidRPr="00C24766">
        <w:rPr>
          <w:rFonts w:eastAsia="Times New Roman"/>
          <w:color w:val="000000"/>
          <w:sz w:val="22"/>
          <w:szCs w:val="20"/>
        </w:rPr>
        <w:t xml:space="preserve"> North Carolina Bill of Rights reads in part, “[t]</w:t>
      </w:r>
      <w:proofErr w:type="spellStart"/>
      <w:r w:rsidRPr="00C24766">
        <w:rPr>
          <w:rFonts w:eastAsia="Times New Roman"/>
          <w:color w:val="000000"/>
          <w:sz w:val="22"/>
          <w:szCs w:val="20"/>
        </w:rPr>
        <w:t>hat</w:t>
      </w:r>
      <w:proofErr w:type="spellEnd"/>
      <w:r w:rsidRPr="00C24766">
        <w:rPr>
          <w:rFonts w:eastAsia="Times New Roman"/>
          <w:color w:val="000000"/>
          <w:sz w:val="22"/>
          <w:szCs w:val="20"/>
        </w:rPr>
        <w:t xml:space="preserve"> the people have a right to bear arms,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 State; and, as standing armies, in time of peace, are dangerous to liberty, they ought not to be kept up; and that the military should be kept under strict subordination to, and governed by, the civil power.”</w:t>
      </w:r>
      <w:r w:rsidRPr="00C24766">
        <w:rPr>
          <w:rFonts w:eastAsia="Times New Roman"/>
          <w:color w:val="000000"/>
          <w:sz w:val="22"/>
          <w:vertAlign w:val="superscript"/>
        </w:rPr>
        <w:endnoteReference w:id="19"/>
      </w:r>
      <w:r w:rsidRPr="00C24766">
        <w:rPr>
          <w:rFonts w:eastAsia="Times New Roman"/>
          <w:color w:val="000000"/>
          <w:sz w:val="22"/>
          <w:vertAlign w:val="superscript"/>
        </w:rPr>
        <w:t>[19]</w:t>
      </w:r>
    </w:p>
    <w:p w:rsidR="00C24766" w:rsidRPr="00C24766" w:rsidRDefault="00C24766" w:rsidP="00C24766">
      <w:pPr>
        <w:numPr>
          <w:ilvl w:val="12"/>
          <w:numId w:val="0"/>
        </w:numPr>
        <w:jc w:val="both"/>
        <w:rPr>
          <w:rFonts w:eastAsia="Times New Roman"/>
          <w:color w:val="000000"/>
          <w:sz w:val="22"/>
          <w:szCs w:val="20"/>
        </w:rPr>
      </w:pPr>
      <w:r w:rsidRPr="00C24766">
        <w:rPr>
          <w:rFonts w:eastAsia="Times New Roman"/>
          <w:color w:val="000000"/>
          <w:sz w:val="22"/>
          <w:vertAlign w:val="superscript"/>
        </w:rPr>
        <w:t xml:space="preserve">          </w:t>
      </w:r>
      <w:r w:rsidRPr="00C24766">
        <w:rPr>
          <w:rFonts w:eastAsia="Times New Roman"/>
          <w:color w:val="000000"/>
          <w:sz w:val="22"/>
          <w:szCs w:val="20"/>
        </w:rPr>
        <w:t>The 1776 adoption of the phrase “the people have a right to bear arms” precedes James Madison's derivative use of a substantially similar phrase when he wrote the Second Amendment in 1789.</w:t>
      </w:r>
      <w:r w:rsidRPr="00C24766">
        <w:rPr>
          <w:rFonts w:eastAsia="Times New Roman"/>
          <w:color w:val="000000"/>
          <w:sz w:val="22"/>
          <w:vertAlign w:val="superscript"/>
        </w:rPr>
        <w:endnoteReference w:id="20"/>
      </w:r>
      <w:r w:rsidRPr="00C24766">
        <w:rPr>
          <w:rFonts w:eastAsia="Times New Roman"/>
          <w:color w:val="000000"/>
          <w:sz w:val="22"/>
          <w:vertAlign w:val="superscript"/>
        </w:rPr>
        <w:t>[20]</w:t>
      </w:r>
      <w:r w:rsidRPr="00C24766">
        <w:rPr>
          <w:rFonts w:eastAsia="Times New Roman"/>
          <w:color w:val="000000"/>
          <w:sz w:val="22"/>
          <w:szCs w:val="20"/>
        </w:rPr>
        <w:t xml:space="preserve"> The 1776 North Carolina Constitution declares the right is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 State,” but delineates no other purpose.</w:t>
      </w:r>
      <w:r w:rsidRPr="00C24766">
        <w:rPr>
          <w:rFonts w:eastAsia="Times New Roman"/>
          <w:color w:val="000000"/>
          <w:sz w:val="22"/>
          <w:vertAlign w:val="superscript"/>
        </w:rPr>
        <w:endnoteReference w:id="21"/>
      </w:r>
      <w:r w:rsidRPr="00C24766">
        <w:rPr>
          <w:rFonts w:eastAsia="Times New Roman"/>
          <w:color w:val="000000"/>
          <w:sz w:val="22"/>
          <w:vertAlign w:val="superscript"/>
        </w:rPr>
        <w:t>[21]</w:t>
      </w:r>
      <w:r w:rsidRPr="00C24766">
        <w:rPr>
          <w:rFonts w:eastAsia="Times New Roman"/>
          <w:color w:val="000000"/>
          <w:sz w:val="22"/>
          <w:szCs w:val="20"/>
        </w:rPr>
        <w:t xml:space="preserve"> This “right to bear arms” language is included </w:t>
      </w:r>
      <w:r w:rsidRPr="00C24766">
        <w:rPr>
          <w:rFonts w:eastAsia="Times New Roman"/>
          <w:i/>
          <w:color w:val="000000"/>
          <w:sz w:val="22"/>
          <w:szCs w:val="20"/>
        </w:rPr>
        <w:t>in the same sentence</w:t>
      </w:r>
      <w:r w:rsidRPr="00C24766">
        <w:rPr>
          <w:rFonts w:eastAsia="Times New Roman"/>
          <w:color w:val="000000"/>
          <w:sz w:val="22"/>
          <w:szCs w:val="20"/>
        </w:rPr>
        <w:t xml:space="preserve"> as denunciations of and restrictions on standing armies. This language would be expected to lend strong support to arguments that the Second Amendment was intended exclusively to promote state militias so as to reduce the power of the federal standing army</w:t>
      </w:r>
      <w:r w:rsidRPr="00C24766">
        <w:rPr>
          <w:rFonts w:eastAsia="Times New Roman"/>
          <w:color w:val="000000"/>
          <w:sz w:val="22"/>
          <w:vertAlign w:val="superscript"/>
        </w:rPr>
        <w:endnoteReference w:id="22"/>
      </w:r>
      <w:r w:rsidRPr="00C24766">
        <w:rPr>
          <w:rFonts w:eastAsia="Times New Roman"/>
          <w:color w:val="000000"/>
          <w:sz w:val="22"/>
          <w:vertAlign w:val="superscript"/>
        </w:rPr>
        <w:t>[22]</w:t>
      </w:r>
      <w:r w:rsidRPr="00C24766">
        <w:rPr>
          <w:rFonts w:eastAsia="Times New Roman"/>
          <w:color w:val="000000"/>
          <w:sz w:val="22"/>
          <w:szCs w:val="20"/>
        </w:rPr>
        <w:t xml:space="preserve"> and that the only purpose of the Second Amendment is collective defense, not individual arms possession for personal defense.</w:t>
      </w:r>
      <w:r w:rsidRPr="00C24766">
        <w:rPr>
          <w:rFonts w:eastAsia="Times New Roman"/>
          <w:color w:val="000000"/>
          <w:sz w:val="22"/>
          <w:vertAlign w:val="superscript"/>
        </w:rPr>
        <w:endnoteReference w:id="23"/>
      </w:r>
      <w:r w:rsidRPr="00C24766">
        <w:rPr>
          <w:rFonts w:eastAsia="Times New Roman"/>
          <w:color w:val="000000"/>
          <w:sz w:val="22"/>
          <w:vertAlign w:val="superscript"/>
        </w:rPr>
        <w:t>[23]</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However, the North Carolina Constitution has always been, without dissent, construed to guarantee a right of ordinary citizens to carry weapons for personal protection.</w:t>
      </w:r>
      <w:r w:rsidRPr="00C24766">
        <w:rPr>
          <w:rFonts w:eastAsia="Times New Roman"/>
          <w:color w:val="000000"/>
          <w:sz w:val="22"/>
          <w:vertAlign w:val="superscript"/>
        </w:rPr>
        <w:endnoteReference w:id="24"/>
      </w:r>
      <w:r w:rsidRPr="00C24766">
        <w:rPr>
          <w:rFonts w:eastAsia="Times New Roman"/>
          <w:color w:val="000000"/>
          <w:sz w:val="22"/>
          <w:vertAlign w:val="superscript"/>
        </w:rPr>
        <w:t>[24</w:t>
      </w:r>
      <w:proofErr w:type="gramStart"/>
      <w:r w:rsidRPr="00C24766">
        <w:rPr>
          <w:rFonts w:eastAsia="Times New Roman"/>
          <w:color w:val="000000"/>
          <w:sz w:val="22"/>
          <w:vertAlign w:val="superscript"/>
        </w:rPr>
        <w:t>]</w:t>
      </w:r>
      <w:r w:rsidRPr="00C24766">
        <w:rPr>
          <w:rFonts w:eastAsia="Times New Roman"/>
          <w:color w:val="000000"/>
          <w:sz w:val="22"/>
          <w:szCs w:val="20"/>
        </w:rPr>
        <w:t xml:space="preserve">  The</w:t>
      </w:r>
      <w:proofErr w:type="gramEnd"/>
      <w:r w:rsidRPr="00C24766">
        <w:rPr>
          <w:rFonts w:eastAsia="Times New Roman"/>
          <w:color w:val="000000"/>
          <w:sz w:val="22"/>
          <w:szCs w:val="20"/>
        </w:rPr>
        <w:t xml:space="preserve"> language of the state constitution, unlike the Second Amendment, explicitly denounces and controls standing armies and specifies only one purpose for the right to bear arms: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 state.”</w:t>
      </w:r>
      <w:r w:rsidRPr="00C24766">
        <w:rPr>
          <w:rFonts w:eastAsia="Times New Roman"/>
          <w:color w:val="000000"/>
          <w:sz w:val="22"/>
          <w:vertAlign w:val="superscript"/>
        </w:rPr>
        <w:endnoteReference w:id="25"/>
      </w:r>
      <w:r w:rsidRPr="00C24766">
        <w:rPr>
          <w:rFonts w:eastAsia="Times New Roman"/>
          <w:color w:val="000000"/>
          <w:sz w:val="22"/>
          <w:vertAlign w:val="superscript"/>
        </w:rPr>
        <w:t>[25]</w:t>
      </w:r>
      <w:r w:rsidRPr="00C24766">
        <w:rPr>
          <w:rFonts w:eastAsia="Times New Roman"/>
          <w:color w:val="000000"/>
          <w:sz w:val="22"/>
          <w:szCs w:val="20"/>
        </w:rPr>
        <w:t xml:space="preserve"> </w:t>
      </w:r>
      <w:r w:rsidRPr="00C24766">
        <w:rPr>
          <w:rFonts w:eastAsia="Times New Roman"/>
          <w:i/>
          <w:color w:val="000000"/>
          <w:sz w:val="22"/>
          <w:szCs w:val="20"/>
        </w:rPr>
        <w:t>A fortiori</w:t>
      </w:r>
      <w:r w:rsidRPr="00C24766">
        <w:rPr>
          <w:rFonts w:eastAsia="Times New Roman"/>
          <w:color w:val="000000"/>
          <w:sz w:val="22"/>
          <w:szCs w:val="20"/>
        </w:rPr>
        <w:t>, the 1776 North Carolina Constitution would protect, at most, people in active militia service, but in 1843, the North Carolina Supreme Court explained that “[f]or any lawful purpose -- either of business or amusement -- the citizen is at perfect liberty to carry his gun.”</w:t>
      </w:r>
      <w:r w:rsidRPr="00C24766">
        <w:rPr>
          <w:rFonts w:eastAsia="Times New Roman"/>
          <w:color w:val="000000"/>
          <w:sz w:val="22"/>
          <w:vertAlign w:val="superscript"/>
        </w:rPr>
        <w:endnoteReference w:id="26"/>
      </w:r>
      <w:r w:rsidRPr="00C24766">
        <w:rPr>
          <w:rFonts w:eastAsia="Times New Roman"/>
          <w:color w:val="000000"/>
          <w:sz w:val="22"/>
          <w:vertAlign w:val="superscript"/>
        </w:rPr>
        <w:t>[26]</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 xml:space="preserve">In 1868, after the Civil War,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recreated its state constitution, adopting language which directly copied the federal Second Amendment.</w:t>
      </w:r>
      <w:r w:rsidRPr="00C24766">
        <w:rPr>
          <w:rFonts w:eastAsia="Times New Roman"/>
          <w:color w:val="000000"/>
          <w:sz w:val="22"/>
          <w:vertAlign w:val="superscript"/>
        </w:rPr>
        <w:endnoteReference w:id="27"/>
      </w:r>
      <w:r w:rsidRPr="00C24766">
        <w:rPr>
          <w:rFonts w:eastAsia="Times New Roman"/>
          <w:color w:val="000000"/>
          <w:sz w:val="22"/>
          <w:vertAlign w:val="superscript"/>
        </w:rPr>
        <w:t>[27]</w:t>
      </w:r>
      <w:r w:rsidRPr="00C24766">
        <w:rPr>
          <w:rFonts w:eastAsia="Times New Roman"/>
          <w:color w:val="000000"/>
          <w:sz w:val="22"/>
          <w:szCs w:val="20"/>
        </w:rPr>
        <w:t xml:space="preserve"> The same constitutional clause also denounced standing armies: “A well-regulated militia being necessary to the security of a free State, the right of the people to keep and bear arms shall not be infringed; and, as standing armies, in time of peace, are dangerous to liberty, they ought not to be kept up, and the military should be kept under strict subordination to, and governed by, the civil power.”</w:t>
      </w:r>
      <w:r w:rsidRPr="00C24766">
        <w:rPr>
          <w:rFonts w:eastAsia="Times New Roman"/>
          <w:color w:val="000000"/>
          <w:sz w:val="22"/>
          <w:vertAlign w:val="superscript"/>
        </w:rPr>
        <w:endnoteReference w:id="28"/>
      </w:r>
      <w:r w:rsidRPr="00C24766">
        <w:rPr>
          <w:rFonts w:eastAsia="Times New Roman"/>
          <w:color w:val="000000"/>
          <w:sz w:val="22"/>
          <w:vertAlign w:val="superscript"/>
        </w:rPr>
        <w:t>[28]</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lastRenderedPageBreak/>
        <w:t xml:space="preserve">Again, if the federal Second Amendment is only about controlling standing armies, then the 1868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arms right should, </w:t>
      </w:r>
      <w:r w:rsidRPr="00C24766">
        <w:rPr>
          <w:rFonts w:eastAsia="Times New Roman"/>
          <w:i/>
          <w:color w:val="000000"/>
          <w:sz w:val="22"/>
          <w:szCs w:val="20"/>
        </w:rPr>
        <w:t>a fortiori</w:t>
      </w:r>
      <w:r w:rsidRPr="00C24766">
        <w:rPr>
          <w:rFonts w:eastAsia="Times New Roman"/>
          <w:color w:val="000000"/>
          <w:sz w:val="22"/>
          <w:szCs w:val="20"/>
        </w:rPr>
        <w:t xml:space="preserve">, only </w:t>
      </w:r>
      <w:proofErr w:type="gramStart"/>
      <w:r w:rsidRPr="00C24766">
        <w:rPr>
          <w:rFonts w:eastAsia="Times New Roman"/>
          <w:color w:val="000000"/>
          <w:sz w:val="22"/>
          <w:szCs w:val="20"/>
        </w:rPr>
        <w:t>be</w:t>
      </w:r>
      <w:proofErr w:type="gramEnd"/>
      <w:r w:rsidRPr="00C24766">
        <w:rPr>
          <w:rFonts w:eastAsia="Times New Roman"/>
          <w:color w:val="000000"/>
          <w:sz w:val="22"/>
          <w:szCs w:val="20"/>
        </w:rPr>
        <w:t xml:space="preserve"> about controlling standing armies, since standing army language appears in the very same sentence as the arms right. Yet the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provision has always been construed as protecting an individual right.</w:t>
      </w:r>
      <w:r w:rsidRPr="00C24766">
        <w:rPr>
          <w:rFonts w:eastAsia="Times New Roman"/>
          <w:color w:val="000000"/>
          <w:sz w:val="22"/>
          <w:vertAlign w:val="superscript"/>
        </w:rPr>
        <w:endnoteReference w:id="29"/>
      </w:r>
      <w:r w:rsidRPr="00C24766">
        <w:rPr>
          <w:rFonts w:eastAsia="Times New Roman"/>
          <w:color w:val="000000"/>
          <w:sz w:val="22"/>
          <w:vertAlign w:val="superscript"/>
        </w:rPr>
        <w:t>[29]</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 xml:space="preserve">The individual nature of the 1868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guarantee, mimicking the Second Amendment, was underscored by an 1875 amendment: “Nothing herein contained shall justify the practice of carrying concealed weapons, or prevent the Legislature from enacting penal statutes against said practice.”</w:t>
      </w:r>
      <w:r w:rsidRPr="00C24766">
        <w:rPr>
          <w:rFonts w:eastAsia="Times New Roman"/>
          <w:color w:val="000000"/>
          <w:sz w:val="22"/>
          <w:vertAlign w:val="superscript"/>
        </w:rPr>
        <w:endnoteReference w:id="30"/>
      </w:r>
      <w:r w:rsidRPr="00C24766">
        <w:rPr>
          <w:rFonts w:eastAsia="Times New Roman"/>
          <w:color w:val="000000"/>
          <w:sz w:val="22"/>
          <w:vertAlign w:val="superscript"/>
        </w:rPr>
        <w:t>[30]</w:t>
      </w:r>
      <w:r w:rsidRPr="00C24766">
        <w:rPr>
          <w:rFonts w:eastAsia="Times New Roman"/>
          <w:color w:val="000000"/>
          <w:sz w:val="22"/>
          <w:szCs w:val="20"/>
        </w:rPr>
        <w:t xml:space="preserve"> If the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arms right were only about controlling standing armies, or only about affirming the state militia, it would make no sense for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to carve out an exception in order to allow the legislature to ban or restrict the carrying of concealed weapons. The concealed weapons control is aimed at individuals, not at active militiamen, who can simply be ordered to carry their guns in the manner their commanding officers insist.  Again, the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constitution has always been interpreted to protect an individual right to arms.</w:t>
      </w:r>
      <w:r w:rsidRPr="00C24766">
        <w:rPr>
          <w:rFonts w:eastAsia="Times New Roman"/>
          <w:color w:val="000000"/>
          <w:sz w:val="22"/>
          <w:vertAlign w:val="superscript"/>
        </w:rPr>
        <w:endnoteReference w:id="31"/>
      </w:r>
      <w:r w:rsidRPr="00C24766">
        <w:rPr>
          <w:rFonts w:eastAsia="Times New Roman"/>
          <w:color w:val="000000"/>
          <w:sz w:val="22"/>
          <w:vertAlign w:val="superscript"/>
        </w:rPr>
        <w:t>[31]</w:t>
      </w:r>
    </w:p>
    <w:p w:rsidR="00C24766" w:rsidRPr="00C24766" w:rsidRDefault="00C24766" w:rsidP="00C24766">
      <w:pPr>
        <w:numPr>
          <w:ilvl w:val="12"/>
          <w:numId w:val="0"/>
        </w:numPr>
        <w:ind w:firstLine="720"/>
        <w:jc w:val="both"/>
        <w:rPr>
          <w:rFonts w:eastAsia="Times New Roman"/>
          <w:color w:val="000000"/>
          <w:sz w:val="22"/>
          <w:szCs w:val="20"/>
        </w:rPr>
      </w:pPr>
      <w:r w:rsidRPr="00C24766">
        <w:rPr>
          <w:rFonts w:eastAsia="Times New Roman"/>
          <w:color w:val="000000"/>
          <w:sz w:val="22"/>
          <w:szCs w:val="20"/>
        </w:rPr>
        <w:t>Therefore, from the North Carolina Constitution, we see:</w:t>
      </w:r>
    </w:p>
    <w:p w:rsidR="00C24766" w:rsidRPr="00C24766" w:rsidRDefault="00C24766" w:rsidP="00C24766">
      <w:pPr>
        <w:numPr>
          <w:ilvl w:val="0"/>
          <w:numId w:val="3"/>
        </w:numPr>
        <w:tabs>
          <w:tab w:val="left" w:pos="720"/>
        </w:tabs>
        <w:jc w:val="both"/>
        <w:rPr>
          <w:rFonts w:eastAsia="Times New Roman"/>
          <w:color w:val="000000"/>
          <w:sz w:val="22"/>
          <w:szCs w:val="20"/>
        </w:rPr>
      </w:pPr>
      <w:r w:rsidRPr="00C24766">
        <w:rPr>
          <w:rFonts w:eastAsia="Times New Roman"/>
          <w:color w:val="000000"/>
          <w:sz w:val="22"/>
          <w:szCs w:val="20"/>
        </w:rPr>
        <w:t>Concerns about standing armies do not negate the individual nature of the arms right.</w:t>
      </w:r>
    </w:p>
    <w:p w:rsidR="00C24766" w:rsidRPr="00C24766" w:rsidRDefault="00C24766" w:rsidP="00C24766">
      <w:pPr>
        <w:numPr>
          <w:ilvl w:val="0"/>
          <w:numId w:val="3"/>
        </w:numPr>
        <w:tabs>
          <w:tab w:val="left" w:pos="720"/>
        </w:tabs>
        <w:jc w:val="both"/>
        <w:rPr>
          <w:rFonts w:eastAsia="Times New Roman"/>
          <w:color w:val="000000"/>
          <w:sz w:val="22"/>
          <w:szCs w:val="20"/>
        </w:rPr>
      </w:pPr>
      <w:r w:rsidRPr="00C24766">
        <w:rPr>
          <w:rFonts w:eastAsia="Times New Roman"/>
          <w:color w:val="000000"/>
          <w:sz w:val="22"/>
          <w:szCs w:val="20"/>
        </w:rPr>
        <w:t xml:space="preserve">A reference to </w:t>
      </w:r>
      <w:r w:rsidRPr="00C24766">
        <w:rPr>
          <w:rFonts w:eastAsia="Times New Roman"/>
          <w:color w:val="000000"/>
          <w:sz w:val="22"/>
          <w:szCs w:val="22"/>
        </w:rPr>
        <w:t>"</w:t>
      </w:r>
      <w:r w:rsidRPr="00C24766">
        <w:rPr>
          <w:rFonts w:eastAsia="Times New Roman"/>
          <w:color w:val="000000"/>
          <w:sz w:val="22"/>
          <w:szCs w:val="20"/>
        </w:rPr>
        <w:t xml:space="preserve">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 state" does not negate the individual nature of the arms right.</w:t>
      </w:r>
    </w:p>
    <w:p w:rsidR="00C24766" w:rsidRPr="00C24766" w:rsidRDefault="00C24766" w:rsidP="00C24766">
      <w:pPr>
        <w:numPr>
          <w:ilvl w:val="0"/>
          <w:numId w:val="3"/>
        </w:numPr>
        <w:tabs>
          <w:tab w:val="left" w:pos="720"/>
        </w:tabs>
        <w:jc w:val="both"/>
        <w:rPr>
          <w:rFonts w:eastAsia="Times New Roman"/>
          <w:color w:val="000000"/>
          <w:sz w:val="22"/>
          <w:szCs w:val="20"/>
        </w:rPr>
      </w:pPr>
      <w:r w:rsidRPr="00C24766">
        <w:rPr>
          <w:rFonts w:eastAsia="Times New Roman"/>
          <w:color w:val="000000"/>
          <w:sz w:val="22"/>
          <w:szCs w:val="20"/>
        </w:rPr>
        <w:t>The creation of an exception to allow restrictions on concealed carry underscores the nature of the arms right.</w:t>
      </w:r>
    </w:p>
    <w:p w:rsidR="00C24766" w:rsidRPr="00C24766" w:rsidRDefault="00C24766" w:rsidP="00C24766">
      <w:pPr>
        <w:numPr>
          <w:ilvl w:val="0"/>
          <w:numId w:val="3"/>
        </w:numPr>
        <w:tabs>
          <w:tab w:val="left" w:pos="720"/>
        </w:tabs>
        <w:jc w:val="both"/>
        <w:rPr>
          <w:rFonts w:eastAsia="Times New Roman"/>
          <w:color w:val="000000"/>
          <w:sz w:val="22"/>
          <w:szCs w:val="20"/>
        </w:rPr>
      </w:pPr>
      <w:r w:rsidRPr="00C24766">
        <w:rPr>
          <w:rFonts w:eastAsia="Times New Roman"/>
          <w:color w:val="000000"/>
          <w:sz w:val="22"/>
          <w:szCs w:val="20"/>
        </w:rPr>
        <w:t xml:space="preserve">The exact wording of the Second Amendment is interpreted as recognizing an individual right in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state courts.</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These themes will be continually supported by examination of other state constitutions.</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Kentucky</w:t>
          </w:r>
        </w:smartTag>
      </w:smartTag>
      <w:r w:rsidRPr="00C24766">
        <w:rPr>
          <w:rFonts w:eastAsia="Times New Roman"/>
          <w:color w:val="000000"/>
          <w:sz w:val="22"/>
          <w:szCs w:val="20"/>
        </w:rPr>
        <w:t xml:space="preserve">: The 1792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 constitution was nearly contemporaneous with the Second Amendment, which was ratified in 1791.</w:t>
      </w:r>
      <w:r w:rsidRPr="00C24766">
        <w:rPr>
          <w:rFonts w:eastAsia="Times New Roman"/>
          <w:color w:val="000000"/>
          <w:sz w:val="22"/>
          <w:vertAlign w:val="superscript"/>
        </w:rPr>
        <w:endnoteReference w:id="32"/>
      </w:r>
      <w:r w:rsidRPr="00C24766">
        <w:rPr>
          <w:rFonts w:eastAsia="Times New Roman"/>
          <w:color w:val="000000"/>
          <w:sz w:val="22"/>
          <w:vertAlign w:val="superscript"/>
        </w:rPr>
        <w:t>[32]</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 declared: “That the right of the citizens to bear arms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w:t>
      </w:r>
      <w:proofErr w:type="gramStart"/>
      <w:r w:rsidRPr="00C24766">
        <w:rPr>
          <w:rFonts w:eastAsia="Times New Roman"/>
          <w:color w:val="000000"/>
          <w:sz w:val="22"/>
          <w:szCs w:val="20"/>
        </w:rPr>
        <w:t>State,</w:t>
      </w:r>
      <w:proofErr w:type="gramEnd"/>
      <w:r w:rsidRPr="00C24766">
        <w:rPr>
          <w:rFonts w:eastAsia="Times New Roman"/>
          <w:color w:val="000000"/>
          <w:sz w:val="22"/>
          <w:szCs w:val="20"/>
        </w:rPr>
        <w:t xml:space="preserve"> shall not be questioned.”</w:t>
      </w:r>
      <w:r w:rsidRPr="00C24766">
        <w:rPr>
          <w:rFonts w:eastAsia="Times New Roman"/>
          <w:color w:val="000000"/>
          <w:sz w:val="22"/>
          <w:vertAlign w:val="superscript"/>
        </w:rPr>
        <w:endnoteReference w:id="33"/>
      </w:r>
      <w:r w:rsidRPr="00C24766">
        <w:rPr>
          <w:rFonts w:eastAsia="Times New Roman"/>
          <w:color w:val="000000"/>
          <w:sz w:val="22"/>
          <w:vertAlign w:val="superscript"/>
        </w:rPr>
        <w:t>[33]</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The year after the Second Amendment became the law of the </w:t>
      </w:r>
      <w:proofErr w:type="gramStart"/>
      <w:r w:rsidRPr="00C24766">
        <w:rPr>
          <w:rFonts w:eastAsia="Times New Roman"/>
          <w:color w:val="000000"/>
          <w:sz w:val="22"/>
          <w:szCs w:val="20"/>
        </w:rPr>
        <w:t>land,</w:t>
      </w:r>
      <w:proofErr w:type="gramEnd"/>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s constitutional drafters used the phrase “bear arms” to include bearing arms for personal and collective defense: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w:t>
      </w:r>
      <w:r w:rsidRPr="00C24766">
        <w:rPr>
          <w:rFonts w:eastAsia="Times New Roman"/>
          <w:i/>
          <w:color w:val="000000"/>
          <w:sz w:val="22"/>
          <w:szCs w:val="20"/>
        </w:rPr>
        <w:t>and</w:t>
      </w:r>
      <w:r w:rsidRPr="00C24766">
        <w:rPr>
          <w:rFonts w:eastAsia="Times New Roman"/>
          <w:color w:val="000000"/>
          <w:sz w:val="22"/>
          <w:szCs w:val="20"/>
        </w:rPr>
        <w:t xml:space="preserve"> the state.”</w:t>
      </w:r>
      <w:r w:rsidRPr="00C24766">
        <w:rPr>
          <w:rFonts w:eastAsia="Times New Roman"/>
          <w:color w:val="000000"/>
          <w:sz w:val="22"/>
          <w:vertAlign w:val="superscript"/>
        </w:rPr>
        <w:endnoteReference w:id="34"/>
      </w:r>
      <w:r w:rsidRPr="00C24766">
        <w:rPr>
          <w:rFonts w:eastAsia="Times New Roman"/>
          <w:color w:val="000000"/>
          <w:sz w:val="22"/>
          <w:vertAlign w:val="superscript"/>
        </w:rPr>
        <w:t>[34]</w:t>
      </w:r>
      <w:r w:rsidRPr="00C24766">
        <w:rPr>
          <w:rFonts w:eastAsia="Times New Roman"/>
          <w:color w:val="000000"/>
          <w:sz w:val="22"/>
          <w:szCs w:val="20"/>
        </w:rPr>
        <w:t xml:space="preserve"> This language suggests that “bear arms” was not commonly understood as encompassing only militia service.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In 1822, a Kentucky Supreme Court decision declared a law against carrying concealed weapons invalid.</w:t>
      </w:r>
      <w:r w:rsidRPr="00C24766">
        <w:rPr>
          <w:rFonts w:eastAsia="Times New Roman"/>
          <w:color w:val="000000"/>
          <w:sz w:val="22"/>
          <w:vertAlign w:val="superscript"/>
        </w:rPr>
        <w:endnoteReference w:id="35"/>
      </w:r>
      <w:r w:rsidRPr="00C24766">
        <w:rPr>
          <w:rFonts w:eastAsia="Times New Roman"/>
          <w:color w:val="000000"/>
          <w:sz w:val="22"/>
          <w:vertAlign w:val="superscript"/>
        </w:rPr>
        <w:t>[35]</w:t>
      </w:r>
      <w:r w:rsidRPr="00C24766">
        <w:rPr>
          <w:rFonts w:eastAsia="Times New Roman"/>
          <w:color w:val="000000"/>
          <w:sz w:val="22"/>
          <w:szCs w:val="20"/>
        </w:rPr>
        <w:t xml:space="preserve"> This led to an 1850 revision in the Kentucky Constitution to allow restrictions on concealed carry.</w:t>
      </w:r>
      <w:r w:rsidRPr="00C24766">
        <w:rPr>
          <w:rFonts w:eastAsia="Times New Roman"/>
          <w:color w:val="000000"/>
          <w:sz w:val="22"/>
          <w:vertAlign w:val="superscript"/>
        </w:rPr>
        <w:endnoteReference w:id="36"/>
      </w:r>
      <w:r w:rsidRPr="00C24766">
        <w:rPr>
          <w:rFonts w:eastAsia="Times New Roman"/>
          <w:color w:val="000000"/>
          <w:sz w:val="22"/>
          <w:vertAlign w:val="superscript"/>
        </w:rPr>
        <w:t>[36]</w:t>
      </w:r>
      <w:r w:rsidRPr="00C24766">
        <w:rPr>
          <w:rFonts w:eastAsia="Times New Roman"/>
          <w:color w:val="000000"/>
          <w:sz w:val="22"/>
          <w:szCs w:val="20"/>
        </w:rPr>
        <w:t xml:space="preserve"> This was also the basis for the restrictions on concealed carry written into many state constitutions. The final form of the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 arms right was enacted in 1891: </w:t>
      </w:r>
    </w:p>
    <w:p w:rsidR="00C24766" w:rsidRPr="00C24766" w:rsidRDefault="00C24766" w:rsidP="00C24766">
      <w:pPr>
        <w:ind w:left="720"/>
        <w:jc w:val="both"/>
        <w:rPr>
          <w:rFonts w:eastAsia="Times New Roman"/>
          <w:color w:val="000000"/>
          <w:sz w:val="22"/>
          <w:szCs w:val="20"/>
        </w:rPr>
      </w:pPr>
      <w:r w:rsidRPr="00C24766">
        <w:rPr>
          <w:rFonts w:eastAsia="Times New Roman"/>
          <w:color w:val="000000"/>
          <w:sz w:val="22"/>
          <w:szCs w:val="20"/>
        </w:rPr>
        <w:t>All men are, by nature, free and equal, and have certain inherent and inalienable rights, among which may be reckoned:</w:t>
      </w:r>
    </w:p>
    <w:p w:rsidR="00C24766" w:rsidRPr="00C24766" w:rsidRDefault="00C24766" w:rsidP="00C24766">
      <w:pPr>
        <w:ind w:left="1440"/>
        <w:jc w:val="both"/>
        <w:rPr>
          <w:rFonts w:eastAsia="Times New Roman"/>
          <w:color w:val="000000"/>
          <w:sz w:val="22"/>
          <w:szCs w:val="20"/>
        </w:rPr>
      </w:pPr>
      <w:r w:rsidRPr="00C24766">
        <w:rPr>
          <w:rFonts w:eastAsia="Times New Roman"/>
          <w:color w:val="000000"/>
          <w:sz w:val="22"/>
          <w:szCs w:val="20"/>
        </w:rPr>
        <w:t>First: The right of enjoying and defending their lives and liberties. . . .</w:t>
      </w:r>
    </w:p>
    <w:p w:rsidR="00C24766" w:rsidRPr="00C24766" w:rsidRDefault="00C24766" w:rsidP="00C24766">
      <w:pPr>
        <w:ind w:left="1440"/>
        <w:jc w:val="both"/>
        <w:rPr>
          <w:rFonts w:eastAsia="Times New Roman"/>
          <w:color w:val="000000"/>
          <w:sz w:val="22"/>
          <w:szCs w:val="20"/>
        </w:rPr>
      </w:pPr>
      <w:r w:rsidRPr="00C24766">
        <w:rPr>
          <w:rFonts w:eastAsia="Times New Roman"/>
          <w:color w:val="000000"/>
          <w:sz w:val="22"/>
          <w:szCs w:val="20"/>
        </w:rPr>
        <w:t>Seventh: The right to bear arms in defense of themselves and of the State, subject to the power of the General Assembly to enact laws to prevent persons from carrying concealed weapons.</w:t>
      </w:r>
      <w:r w:rsidRPr="00C24766">
        <w:rPr>
          <w:rFonts w:eastAsia="Times New Roman"/>
          <w:color w:val="000000"/>
          <w:sz w:val="22"/>
          <w:vertAlign w:val="superscript"/>
        </w:rPr>
        <w:endnoteReference w:id="37"/>
      </w:r>
      <w:r w:rsidRPr="00C24766">
        <w:rPr>
          <w:rFonts w:eastAsia="Times New Roman"/>
          <w:color w:val="000000"/>
          <w:sz w:val="22"/>
          <w:vertAlign w:val="superscript"/>
        </w:rPr>
        <w:t>[37]</w:t>
      </w:r>
    </w:p>
    <w:p w:rsidR="00C24766" w:rsidRPr="00C24766" w:rsidRDefault="00C24766" w:rsidP="00C24766">
      <w:pPr>
        <w:jc w:val="both"/>
        <w:rPr>
          <w:rFonts w:eastAsia="Times New Roman"/>
          <w:color w:val="000000"/>
        </w:rPr>
      </w:pPr>
      <w:r w:rsidRPr="00C24766">
        <w:rPr>
          <w:rFonts w:eastAsia="Times New Roman"/>
          <w:b/>
          <w:bCs/>
          <w:caps/>
          <w:color w:val="000000"/>
          <w:sz w:val="36"/>
          <w:szCs w:val="20"/>
        </w:rPr>
        <w:t>II. Is the Second Amendment Mainly about Federalism?</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    Having examined some very early states’ right to arms guarantees, let us now jump ahead to 1959 and to the last states that joined the </w:t>
      </w:r>
      <w:smartTag w:uri="urn:schemas-microsoft-com:office:smarttags" w:element="place">
        <w:r w:rsidRPr="00C24766">
          <w:rPr>
            <w:rFonts w:eastAsia="Times New Roman"/>
            <w:color w:val="000000"/>
            <w:sz w:val="22"/>
            <w:szCs w:val="20"/>
          </w:rPr>
          <w:t>Union</w:t>
        </w:r>
      </w:smartTag>
      <w:r w:rsidRPr="00C24766">
        <w:rPr>
          <w:rFonts w:eastAsia="Times New Roman"/>
          <w:color w:val="000000"/>
          <w:sz w:val="22"/>
          <w:szCs w:val="20"/>
        </w:rPr>
        <w:t>.</w:t>
      </w:r>
      <w:r w:rsidRPr="00C24766">
        <w:rPr>
          <w:rFonts w:eastAsia="Times New Roman"/>
          <w:color w:val="000000"/>
          <w:sz w:val="22"/>
          <w:vertAlign w:val="superscript"/>
        </w:rPr>
        <w:endnoteReference w:id="38"/>
      </w:r>
      <w:r w:rsidRPr="00C24766">
        <w:rPr>
          <w:rFonts w:eastAsia="Times New Roman"/>
          <w:color w:val="000000"/>
          <w:sz w:val="22"/>
          <w:vertAlign w:val="superscript"/>
        </w:rPr>
        <w:t>[38]</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Alaska</w:t>
          </w:r>
        </w:smartTag>
      </w:smartTag>
      <w:r w:rsidRPr="00C24766">
        <w:rPr>
          <w:rFonts w:eastAsia="Times New Roman"/>
          <w:b/>
          <w:color w:val="000000"/>
          <w:sz w:val="22"/>
          <w:szCs w:val="20"/>
        </w:rPr>
        <w:t xml:space="preserve"> and </w:t>
      </w:r>
      <w:smartTag w:uri="urn:schemas-microsoft-com:office:smarttags" w:element="State">
        <w:smartTag w:uri="urn:schemas-microsoft-com:office:smarttags" w:element="place">
          <w:r w:rsidRPr="00C24766">
            <w:rPr>
              <w:rFonts w:eastAsia="Times New Roman"/>
              <w:b/>
              <w:color w:val="000000"/>
              <w:sz w:val="22"/>
              <w:szCs w:val="20"/>
            </w:rPr>
            <w:t>Hawaii</w:t>
          </w:r>
        </w:smartTag>
      </w:smartTag>
      <w:r w:rsidRPr="00C24766">
        <w:rPr>
          <w:rFonts w:eastAsia="Times New Roman"/>
          <w:b/>
          <w:color w:val="000000"/>
          <w:sz w:val="22"/>
          <w:szCs w:val="20"/>
        </w:rPr>
        <w:t xml:space="preserve">: </w:t>
      </w:r>
      <w:r w:rsidRPr="00C24766">
        <w:rPr>
          <w:rFonts w:eastAsia="Times New Roman"/>
          <w:color w:val="000000"/>
          <w:sz w:val="22"/>
          <w:szCs w:val="20"/>
        </w:rPr>
        <w:t xml:space="preserve">Both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copied the Second Amendment verbatim into their state constitutions.</w:t>
      </w:r>
      <w:r w:rsidRPr="00C24766">
        <w:rPr>
          <w:rFonts w:eastAsia="Times New Roman"/>
          <w:color w:val="000000"/>
          <w:sz w:val="22"/>
          <w:vertAlign w:val="superscript"/>
        </w:rPr>
        <w:endnoteReference w:id="39"/>
      </w:r>
      <w:r w:rsidRPr="00C24766">
        <w:rPr>
          <w:rFonts w:eastAsia="Times New Roman"/>
          <w:color w:val="000000"/>
          <w:sz w:val="22"/>
          <w:vertAlign w:val="superscript"/>
        </w:rPr>
        <w:t>[39]</w:t>
      </w:r>
      <w:r w:rsidRPr="00C24766">
        <w:rPr>
          <w:rFonts w:eastAsia="Times New Roman"/>
          <w:color w:val="000000"/>
          <w:sz w:val="22"/>
          <w:szCs w:val="20"/>
        </w:rPr>
        <w:t xml:space="preserve"> The arms right provision in both states reads: “A well</w:t>
      </w:r>
      <w:r w:rsidRPr="00C24766">
        <w:rPr>
          <w:rFonts w:eastAsia="Times New Roman"/>
          <w:color w:val="000000"/>
          <w:sz w:val="22"/>
          <w:szCs w:val="20"/>
        </w:rPr>
        <w:noBreakHyphen/>
      </w:r>
      <w:proofErr w:type="spellStart"/>
      <w:r w:rsidRPr="00C24766">
        <w:rPr>
          <w:rFonts w:eastAsia="Times New Roman"/>
          <w:color w:val="000000"/>
          <w:sz w:val="22"/>
          <w:szCs w:val="20"/>
        </w:rPr>
        <w:t>regulated</w:t>
      </w:r>
      <w:proofErr w:type="spellEnd"/>
      <w:r w:rsidRPr="00C24766">
        <w:rPr>
          <w:rFonts w:eastAsia="Times New Roman"/>
          <w:color w:val="000000"/>
          <w:sz w:val="22"/>
          <w:szCs w:val="20"/>
        </w:rPr>
        <w:t xml:space="preserve"> militia being necessary to the security of a </w:t>
      </w:r>
      <w:smartTag w:uri="urn:schemas-microsoft-com:office:smarttags" w:element="State">
        <w:smartTag w:uri="urn:schemas-microsoft-com:office:smarttags" w:element="place">
          <w:r w:rsidRPr="00C24766">
            <w:rPr>
              <w:rFonts w:eastAsia="Times New Roman"/>
              <w:color w:val="000000"/>
              <w:sz w:val="22"/>
              <w:szCs w:val="20"/>
            </w:rPr>
            <w:t>free state</w:t>
          </w:r>
        </w:smartTag>
      </w:smartTag>
      <w:r w:rsidRPr="00C24766">
        <w:rPr>
          <w:rFonts w:eastAsia="Times New Roman"/>
          <w:color w:val="000000"/>
          <w:sz w:val="22"/>
          <w:szCs w:val="20"/>
        </w:rPr>
        <w:t>, the right of the people to keep and bear arms shall not be infringed.”</w:t>
      </w:r>
      <w:r w:rsidRPr="00C24766">
        <w:rPr>
          <w:rFonts w:eastAsia="Times New Roman"/>
          <w:color w:val="000000"/>
          <w:sz w:val="22"/>
          <w:vertAlign w:val="superscript"/>
        </w:rPr>
        <w:endnoteReference w:id="40"/>
      </w:r>
      <w:r w:rsidRPr="00C24766">
        <w:rPr>
          <w:rFonts w:eastAsia="Times New Roman"/>
          <w:color w:val="000000"/>
          <w:sz w:val="22"/>
          <w:vertAlign w:val="superscript"/>
        </w:rPr>
        <w:t>[40]</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It is sometimes argued that the Second Amendment right belongs only to state militias, to protect them from disarmament by the federal government.</w:t>
      </w:r>
      <w:r w:rsidRPr="00C24766">
        <w:rPr>
          <w:rFonts w:eastAsia="Times New Roman"/>
          <w:color w:val="000000"/>
          <w:sz w:val="22"/>
          <w:vertAlign w:val="superscript"/>
        </w:rPr>
        <w:endnoteReference w:id="41"/>
      </w:r>
      <w:r w:rsidRPr="00C24766">
        <w:rPr>
          <w:rFonts w:eastAsia="Times New Roman"/>
          <w:color w:val="000000"/>
          <w:sz w:val="22"/>
          <w:vertAlign w:val="superscript"/>
        </w:rPr>
        <w:t>[41]</w:t>
      </w:r>
      <w:r w:rsidRPr="00C24766">
        <w:rPr>
          <w:rFonts w:eastAsia="Times New Roman"/>
          <w:color w:val="000000"/>
          <w:sz w:val="22"/>
          <w:szCs w:val="20"/>
        </w:rPr>
        <w:t xml:space="preserve"> The guarantees made by the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Constitutions contradict this argument. If the argument were true, then it would be preposterous for the people of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to place in their constitution language which is </w:t>
      </w:r>
      <w:r w:rsidRPr="00C24766">
        <w:rPr>
          <w:rFonts w:eastAsia="Times New Roman"/>
          <w:i/>
          <w:color w:val="000000"/>
          <w:sz w:val="22"/>
          <w:szCs w:val="20"/>
        </w:rPr>
        <w:t>identical</w:t>
      </w:r>
      <w:r w:rsidRPr="00C24766">
        <w:rPr>
          <w:rFonts w:eastAsia="Times New Roman"/>
          <w:color w:val="000000"/>
          <w:sz w:val="22"/>
          <w:szCs w:val="20"/>
        </w:rPr>
        <w:t xml:space="preserve"> to the Second Amendment. Because of the Supremacy Clause in the United States Constitution</w:t>
      </w:r>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42"/>
      </w:r>
      <w:r w:rsidRPr="00C24766">
        <w:rPr>
          <w:rFonts w:eastAsia="Times New Roman"/>
          <w:color w:val="000000"/>
          <w:sz w:val="22"/>
          <w:vertAlign w:val="superscript"/>
        </w:rPr>
        <w:t>[42]</w:t>
      </w:r>
      <w:r w:rsidRPr="00C24766">
        <w:rPr>
          <w:rFonts w:eastAsia="Times New Roman"/>
          <w:color w:val="000000"/>
          <w:sz w:val="22"/>
          <w:szCs w:val="20"/>
        </w:rPr>
        <w:t xml:space="preserve"> nothing in the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or Hawaii Constitutions could prevent the federal government from disarming a state militia. The obvious reason that the people of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placed the exact language of the Second Amendment in their state constitutions was to keep the state governments from disarming the people of their respective state. The people of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chose these </w:t>
      </w:r>
      <w:r w:rsidRPr="00C24766">
        <w:rPr>
          <w:rFonts w:eastAsia="Times New Roman"/>
          <w:color w:val="000000"/>
          <w:sz w:val="22"/>
          <w:szCs w:val="20"/>
        </w:rPr>
        <w:lastRenderedPageBreak/>
        <w:t xml:space="preserve">precise words because they understood those words as used in the United States Constitution to prevent the </w:t>
      </w:r>
      <w:smartTag w:uri="urn:schemas-microsoft-com:office:smarttags" w:element="country-region">
        <w:smartTag w:uri="urn:schemas-microsoft-com:office:smarttags" w:element="place">
          <w:r w:rsidRPr="00C24766">
            <w:rPr>
              <w:rFonts w:eastAsia="Times New Roman"/>
              <w:color w:val="000000"/>
              <w:sz w:val="22"/>
              <w:szCs w:val="20"/>
            </w:rPr>
            <w:t>United States</w:t>
          </w:r>
        </w:smartTag>
      </w:smartTag>
      <w:r w:rsidRPr="00C24766">
        <w:rPr>
          <w:rFonts w:eastAsia="Times New Roman"/>
          <w:color w:val="000000"/>
          <w:sz w:val="22"/>
          <w:szCs w:val="20"/>
        </w:rPr>
        <w:t xml:space="preserve"> government from disarming the people of the </w:t>
      </w:r>
      <w:smartTag w:uri="urn:schemas-microsoft-com:office:smarttags" w:element="country-region">
        <w:smartTag w:uri="urn:schemas-microsoft-com:office:smarttags" w:element="place">
          <w:r w:rsidRPr="00C24766">
            <w:rPr>
              <w:rFonts w:eastAsia="Times New Roman"/>
              <w:color w:val="000000"/>
              <w:sz w:val="22"/>
              <w:szCs w:val="20"/>
            </w:rPr>
            <w:t>United States</w:t>
          </w:r>
        </w:smartTag>
      </w:smartTag>
      <w:r w:rsidRPr="00C24766">
        <w:rPr>
          <w:rFonts w:eastAsia="Times New Roman"/>
          <w:color w:val="000000"/>
          <w:sz w:val="22"/>
          <w:szCs w:val="20"/>
        </w:rPr>
        <w:t>.</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In 1994, the people of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added additional protection to their arms right by specifically labeling the right “individual,” by specifically prohibiting local governments from restricting the right, and by changing “infringed” to “denied or infringed.”</w:t>
      </w:r>
      <w:r w:rsidRPr="00C24766">
        <w:rPr>
          <w:rFonts w:eastAsia="Times New Roman"/>
          <w:color w:val="000000"/>
          <w:sz w:val="22"/>
          <w:vertAlign w:val="superscript"/>
        </w:rPr>
        <w:endnoteReference w:id="43"/>
      </w:r>
      <w:r w:rsidRPr="00C24766">
        <w:rPr>
          <w:rFonts w:eastAsia="Times New Roman"/>
          <w:color w:val="000000"/>
          <w:sz w:val="22"/>
          <w:vertAlign w:val="superscript"/>
        </w:rPr>
        <w:t>[43]</w:t>
      </w:r>
      <w:r w:rsidRPr="00C24766">
        <w:rPr>
          <w:rFonts w:eastAsia="Times New Roman"/>
          <w:color w:val="000000"/>
          <w:sz w:val="22"/>
          <w:szCs w:val="20"/>
        </w:rPr>
        <w:t xml:space="preserve"> The people of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may have been acting with a great abundance of caution, since the 1994 addition merely restated what was already in the 1959 Constitution: that the arms right limited the power of local government as well as state government</w:t>
      </w:r>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44"/>
      </w:r>
      <w:r w:rsidRPr="00C24766">
        <w:rPr>
          <w:rFonts w:eastAsia="Times New Roman"/>
          <w:color w:val="000000"/>
          <w:sz w:val="22"/>
          <w:vertAlign w:val="superscript"/>
        </w:rPr>
        <w:t>[44]</w:t>
      </w:r>
      <w:r w:rsidRPr="00C24766">
        <w:rPr>
          <w:rFonts w:eastAsia="Times New Roman"/>
          <w:color w:val="000000"/>
          <w:sz w:val="22"/>
          <w:szCs w:val="20"/>
        </w:rPr>
        <w:t xml:space="preserve"> that the right was individual, and that the right could not be “denied.”</w:t>
      </w:r>
      <w:r w:rsidRPr="00C24766">
        <w:rPr>
          <w:rFonts w:eastAsia="Times New Roman"/>
          <w:color w:val="000000"/>
          <w:sz w:val="22"/>
          <w:vertAlign w:val="superscript"/>
        </w:rPr>
        <w:endnoteReference w:id="45"/>
      </w:r>
      <w:r w:rsidRPr="00C24766">
        <w:rPr>
          <w:rFonts w:eastAsia="Times New Roman"/>
          <w:color w:val="000000"/>
          <w:sz w:val="22"/>
          <w:vertAlign w:val="superscript"/>
        </w:rPr>
        <w:t>[45]</w:t>
      </w:r>
    </w:p>
    <w:p w:rsidR="00C24766" w:rsidRPr="00C24766" w:rsidRDefault="00C24766" w:rsidP="00C24766">
      <w:pPr>
        <w:ind w:firstLine="720"/>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simply interprets its state constitutional right to </w:t>
      </w:r>
      <w:proofErr w:type="gramStart"/>
      <w:r w:rsidRPr="00C24766">
        <w:rPr>
          <w:rFonts w:eastAsia="Times New Roman"/>
          <w:color w:val="000000"/>
          <w:sz w:val="22"/>
          <w:szCs w:val="20"/>
        </w:rPr>
        <w:t>arms</w:t>
      </w:r>
      <w:proofErr w:type="gramEnd"/>
      <w:r w:rsidRPr="00C24766">
        <w:rPr>
          <w:rFonts w:eastAsia="Times New Roman"/>
          <w:color w:val="000000"/>
          <w:sz w:val="22"/>
          <w:vertAlign w:val="superscript"/>
        </w:rPr>
        <w:endnoteReference w:id="46"/>
      </w:r>
      <w:r w:rsidRPr="00C24766">
        <w:rPr>
          <w:rFonts w:eastAsia="Times New Roman"/>
          <w:color w:val="000000"/>
          <w:sz w:val="22"/>
          <w:vertAlign w:val="superscript"/>
        </w:rPr>
        <w:t>[46]</w:t>
      </w:r>
      <w:r w:rsidRPr="00C24766">
        <w:rPr>
          <w:rFonts w:eastAsia="Times New Roman"/>
          <w:color w:val="000000"/>
          <w:sz w:val="22"/>
          <w:szCs w:val="20"/>
        </w:rPr>
        <w:t xml:space="preserve"> and gets the same result. Hawaiians have an individual right to arms, which may not be denied by the state or by local governments</w:t>
      </w:r>
      <w:r w:rsidRPr="00C24766">
        <w:rPr>
          <w:rFonts w:eastAsia="Times New Roman"/>
          <w:color w:val="000000"/>
          <w:sz w:val="22"/>
          <w:szCs w:val="20"/>
        </w:rPr>
        <w:footnoteRef/>
      </w:r>
      <w:r w:rsidRPr="00C24766">
        <w:rPr>
          <w:rFonts w:eastAsia="Times New Roman"/>
          <w:color w:val="000000"/>
          <w:sz w:val="22"/>
          <w:szCs w:val="20"/>
        </w:rPr>
        <w:t>.</w:t>
      </w:r>
      <w:r w:rsidRPr="00C24766">
        <w:rPr>
          <w:rFonts w:eastAsia="Times New Roman"/>
          <w:color w:val="000000"/>
          <w:sz w:val="22"/>
          <w:vertAlign w:val="superscript"/>
        </w:rPr>
        <w:endnoteReference w:customMarkFollows="1" w:id="47"/>
        <w:t>[47]</w:t>
      </w:r>
      <w:r w:rsidRPr="00C24766">
        <w:rPr>
          <w:rFonts w:eastAsia="Times New Roman"/>
          <w:color w:val="000000"/>
          <w:sz w:val="22"/>
          <w:szCs w:val="20"/>
        </w:rPr>
        <w:t xml:space="preserve"> Of course,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has extensive gun controls, while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has very few.</w:t>
      </w:r>
      <w:r w:rsidRPr="00C24766">
        <w:rPr>
          <w:rFonts w:eastAsia="Times New Roman"/>
          <w:color w:val="000000"/>
          <w:sz w:val="22"/>
          <w:vertAlign w:val="superscript"/>
        </w:rPr>
        <w:endnoteReference w:id="48"/>
      </w:r>
      <w:r w:rsidRPr="00C24766">
        <w:rPr>
          <w:rFonts w:eastAsia="Times New Roman"/>
          <w:color w:val="000000"/>
          <w:sz w:val="22"/>
          <w:vertAlign w:val="superscript"/>
        </w:rPr>
        <w:t>[48]</w:t>
      </w:r>
      <w:r w:rsidRPr="00C24766">
        <w:rPr>
          <w:rFonts w:eastAsia="Times New Roman"/>
          <w:color w:val="000000"/>
          <w:sz w:val="22"/>
          <w:szCs w:val="20"/>
        </w:rPr>
        <w:t xml:space="preserve"> The issue for this article, however, is not whether any particular gun control is constitutional, but simply whether the text of state constitutions suggests that the federal Second Amendment protects a meaningful individual right.</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rPr>
            <w:t>South Carolina</w:t>
          </w:r>
        </w:smartTag>
      </w:smartTag>
      <w:r w:rsidRPr="00C24766">
        <w:rPr>
          <w:rFonts w:eastAsia="Times New Roman"/>
          <w:b/>
          <w:color w:val="000000"/>
          <w:sz w:val="22"/>
        </w:rPr>
        <w:t>:</w:t>
      </w:r>
      <w:r w:rsidRPr="00C24766">
        <w:rPr>
          <w:rFonts w:eastAsia="Times New Roman"/>
          <w:b/>
          <w:color w:val="000000"/>
          <w:sz w:val="22"/>
          <w:szCs w:val="20"/>
        </w:rPr>
        <w:t xml:space="preserve">  </w:t>
      </w:r>
      <w:r w:rsidRPr="00C24766">
        <w:rPr>
          <w:rFonts w:eastAsia="Times New Roman"/>
          <w:color w:val="000000"/>
          <w:sz w:val="22"/>
          <w:szCs w:val="20"/>
        </w:rPr>
        <w:t xml:space="preserve">Like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Hawaii</w:t>
          </w:r>
        </w:smartTag>
      </w:smartTag>
      <w:r w:rsidRPr="00C24766">
        <w:rPr>
          <w:rFonts w:eastAsia="Times New Roman"/>
          <w:color w:val="000000"/>
          <w:sz w:val="22"/>
          <w:szCs w:val="20"/>
        </w:rPr>
        <w:t xml:space="preserve">, the state of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adopted the Second Amendment verbatim.</w:t>
      </w:r>
      <w:r w:rsidRPr="00C24766">
        <w:rPr>
          <w:rFonts w:eastAsia="Times New Roman"/>
          <w:color w:val="000000"/>
          <w:sz w:val="22"/>
          <w:vertAlign w:val="superscript"/>
        </w:rPr>
        <w:endnoteReference w:id="49"/>
      </w:r>
      <w:r w:rsidRPr="00C24766">
        <w:rPr>
          <w:rFonts w:eastAsia="Times New Roman"/>
          <w:color w:val="000000"/>
          <w:sz w:val="22"/>
          <w:vertAlign w:val="superscript"/>
        </w:rPr>
        <w:t>[49]</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also copied </w:t>
      </w:r>
      <w:smartTag w:uri="urn:schemas-microsoft-com:office:smarttags" w:element="State">
        <w:smartTag w:uri="urn:schemas-microsoft-com:office:smarttags" w:element="place">
          <w:r w:rsidRPr="00C24766">
            <w:rPr>
              <w:rFonts w:eastAsia="Times New Roman"/>
              <w:color w:val="000000"/>
              <w:sz w:val="22"/>
              <w:szCs w:val="20"/>
            </w:rPr>
            <w:t>North Carolina</w:t>
          </w:r>
        </w:smartTag>
      </w:smartTag>
      <w:r w:rsidRPr="00C24766">
        <w:rPr>
          <w:rFonts w:eastAsia="Times New Roman"/>
          <w:color w:val="000000"/>
          <w:sz w:val="22"/>
          <w:szCs w:val="20"/>
        </w:rPr>
        <w:t xml:space="preserve">’s language denouncing standing armies: “A well regulated militia being necessary to the security of a </w:t>
      </w:r>
      <w:proofErr w:type="gramStart"/>
      <w:smartTag w:uri="urn:schemas-microsoft-com:office:smarttags" w:element="State">
        <w:smartTag w:uri="urn:schemas-microsoft-com:office:smarttags" w:element="place">
          <w:r w:rsidRPr="00C24766">
            <w:rPr>
              <w:rFonts w:eastAsia="Times New Roman"/>
              <w:color w:val="000000"/>
              <w:sz w:val="22"/>
              <w:szCs w:val="20"/>
            </w:rPr>
            <w:t>free</w:t>
          </w:r>
          <w:proofErr w:type="gramEnd"/>
          <w:r w:rsidRPr="00C24766">
            <w:rPr>
              <w:rFonts w:eastAsia="Times New Roman"/>
              <w:color w:val="000000"/>
              <w:sz w:val="22"/>
              <w:szCs w:val="20"/>
            </w:rPr>
            <w:t xml:space="preserve"> State</w:t>
          </w:r>
        </w:smartTag>
      </w:smartTag>
      <w:r w:rsidRPr="00C24766">
        <w:rPr>
          <w:rFonts w:eastAsia="Times New Roman"/>
          <w:color w:val="000000"/>
          <w:sz w:val="22"/>
          <w:szCs w:val="20"/>
        </w:rPr>
        <w:t>, the right of the people to keep and bear arms shall not be infringed.  As, in times of peace, armies are dangerous to liberty, they shall not be maintained without the consent of the General Assembly.  The military power of the State shall always be held in subordination to the civil authority and be governed by it.”</w:t>
      </w:r>
      <w:r w:rsidRPr="00C24766">
        <w:rPr>
          <w:rFonts w:eastAsia="Times New Roman"/>
          <w:color w:val="000000"/>
          <w:sz w:val="22"/>
          <w:vertAlign w:val="superscript"/>
        </w:rPr>
        <w:endnoteReference w:id="50"/>
      </w:r>
      <w:r w:rsidRPr="00C24766">
        <w:rPr>
          <w:rFonts w:eastAsia="Times New Roman"/>
          <w:color w:val="000000"/>
          <w:sz w:val="22"/>
          <w:vertAlign w:val="superscript"/>
        </w:rPr>
        <w:t>[50]</w:t>
      </w:r>
    </w:p>
    <w:p w:rsidR="00C24766" w:rsidRPr="00C24766" w:rsidRDefault="00C24766" w:rsidP="00C24766">
      <w:pPr>
        <w:jc w:val="both"/>
        <w:rPr>
          <w:rFonts w:eastAsia="Times New Roman"/>
          <w:color w:val="000000"/>
        </w:rPr>
      </w:pPr>
      <w:r w:rsidRPr="00C24766">
        <w:rPr>
          <w:rFonts w:eastAsia="Times New Roman"/>
          <w:color w:val="000000"/>
          <w:sz w:val="22"/>
          <w:szCs w:val="20"/>
        </w:rPr>
        <w:tab/>
        <w:t xml:space="preserve">In South Carolina, the state constitutional right to arms, with the exact same language as the Second Amendment, is read just as it is in Alaska, Hawaii, and North Carolina: as guaranteeing a right of individuals to bear arms. If Second Amendment language were about state’s rights, rather than about individual rights, then surely one would expect the state’s rights interpretation to prevail in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the state which affirmed state’s rights by seceding and thereby starting the Civil War – providing the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militia with an opportunity to assert its independence from federal control. Yet even in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the precise language of the Second Amendment is recognized as guaranteeing individual rights, not militia independence. </w:t>
      </w:r>
    </w:p>
    <w:p w:rsidR="00C24766" w:rsidRPr="00C24766" w:rsidRDefault="00C24766" w:rsidP="00C24766">
      <w:pPr>
        <w:jc w:val="both"/>
        <w:rPr>
          <w:rFonts w:eastAsia="Times New Roman"/>
          <w:color w:val="000000"/>
        </w:rPr>
      </w:pPr>
      <w:r w:rsidRPr="00C24766">
        <w:rPr>
          <w:rFonts w:eastAsia="Times New Roman"/>
          <w:color w:val="000000"/>
          <w:sz w:val="22"/>
          <w:szCs w:val="20"/>
        </w:rPr>
        <w:br/>
      </w:r>
      <w:r w:rsidRPr="00C24766">
        <w:rPr>
          <w:rFonts w:eastAsia="Times New Roman"/>
          <w:b/>
          <w:bCs/>
          <w:caps/>
          <w:color w:val="000000"/>
          <w:sz w:val="36"/>
          <w:szCs w:val="36"/>
        </w:rPr>
        <w:t>III. Stability across Time and Place</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Having examined constitutions from very old states to the newest states, let us now look at the constitutions of the rest of the states. We will proceed mostly, in alphabetical order, although some states will be combined where profitable. We will find great diversity of geography and time, and will we find consistent support for the themes established in Parts I and II.</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Alabama</w:t>
          </w:r>
        </w:smartTag>
      </w:smartTag>
      <w:r w:rsidRPr="00C24766">
        <w:rPr>
          <w:rFonts w:eastAsia="Times New Roman"/>
          <w:color w:val="000000"/>
          <w:sz w:val="22"/>
          <w:szCs w:val="20"/>
        </w:rPr>
        <w:t>: The Alabama Constitution, adopted in 1819, guarantees “[t]hat every citizen has a right to bear arms in defense of himself and the state.</w:t>
      </w:r>
      <w:r w:rsidRPr="00C24766">
        <w:rPr>
          <w:rFonts w:eastAsia="Times New Roman"/>
          <w:color w:val="000000"/>
          <w:sz w:val="22"/>
          <w:vertAlign w:val="superscript"/>
        </w:rPr>
        <w:endnoteReference w:id="51"/>
      </w:r>
      <w:r w:rsidRPr="00C24766">
        <w:rPr>
          <w:rFonts w:eastAsia="Times New Roman"/>
          <w:color w:val="000000"/>
          <w:sz w:val="22"/>
          <w:vertAlign w:val="superscript"/>
        </w:rPr>
        <w:t>[51]</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color w:val="000000"/>
              <w:sz w:val="22"/>
              <w:szCs w:val="20"/>
            </w:rPr>
            <w:t>Alabama</w:t>
          </w:r>
        </w:smartTag>
      </w:smartTag>
      <w:r w:rsidRPr="00C24766">
        <w:rPr>
          <w:rFonts w:eastAsia="Times New Roman"/>
          <w:color w:val="000000"/>
          <w:sz w:val="22"/>
          <w:szCs w:val="20"/>
        </w:rPr>
        <w:t>'s guarantee refers to community protection (such as might be provided in militia service) with the phrase “bear arms in defense of...the state.”</w:t>
      </w:r>
      <w:r w:rsidRPr="00C24766">
        <w:rPr>
          <w:rFonts w:eastAsia="Times New Roman"/>
          <w:color w:val="000000"/>
          <w:sz w:val="22"/>
          <w:vertAlign w:val="superscript"/>
        </w:rPr>
        <w:endnoteReference w:id="52"/>
      </w:r>
      <w:r w:rsidRPr="00C24766">
        <w:rPr>
          <w:rFonts w:eastAsia="Times New Roman"/>
          <w:color w:val="000000"/>
          <w:sz w:val="22"/>
          <w:vertAlign w:val="superscript"/>
        </w:rPr>
        <w:t>[52]</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Alabama</w:t>
          </w:r>
        </w:smartTag>
      </w:smartTag>
      <w:r w:rsidRPr="00C24766">
        <w:rPr>
          <w:rFonts w:eastAsia="Times New Roman"/>
          <w:color w:val="000000"/>
          <w:sz w:val="22"/>
          <w:szCs w:val="20"/>
        </w:rPr>
        <w:t xml:space="preserve"> also refers to personal protection: “bear arms in defense of himself.”</w:t>
      </w:r>
      <w:r w:rsidRPr="00C24766">
        <w:rPr>
          <w:rFonts w:eastAsia="Times New Roman"/>
          <w:color w:val="000000"/>
          <w:sz w:val="22"/>
          <w:vertAlign w:val="superscript"/>
        </w:rPr>
        <w:endnoteReference w:id="53"/>
      </w:r>
      <w:r w:rsidRPr="00C24766">
        <w:rPr>
          <w:rFonts w:eastAsia="Times New Roman"/>
          <w:color w:val="000000"/>
          <w:sz w:val="22"/>
          <w:vertAlign w:val="superscript"/>
        </w:rPr>
        <w:t>[53]</w:t>
      </w:r>
      <w:r w:rsidRPr="00C24766">
        <w:rPr>
          <w:rFonts w:eastAsia="Times New Roman"/>
          <w:color w:val="000000"/>
          <w:sz w:val="22"/>
          <w:szCs w:val="20"/>
        </w:rPr>
        <w:t xml:space="preserve"> Thus, one can bear arms “in defense</w:t>
      </w:r>
      <w:proofErr w:type="gramStart"/>
      <w:r w:rsidRPr="00C24766">
        <w:rPr>
          <w:rFonts w:eastAsia="Times New Roman"/>
          <w:color w:val="000000"/>
          <w:sz w:val="22"/>
          <w:szCs w:val="20"/>
        </w:rPr>
        <w:t>. ..</w:t>
      </w:r>
      <w:proofErr w:type="gramEnd"/>
      <w:r w:rsidRPr="00C24766">
        <w:rPr>
          <w:rFonts w:eastAsia="Times New Roman"/>
          <w:color w:val="000000"/>
          <w:sz w:val="22"/>
          <w:szCs w:val="20"/>
        </w:rPr>
        <w:t xml:space="preserve"> </w:t>
      </w:r>
      <w:proofErr w:type="gramStart"/>
      <w:r w:rsidRPr="00C24766">
        <w:rPr>
          <w:rFonts w:eastAsia="Times New Roman"/>
          <w:color w:val="000000"/>
          <w:sz w:val="22"/>
          <w:szCs w:val="20"/>
        </w:rPr>
        <w:t>of</w:t>
      </w:r>
      <w:proofErr w:type="gramEnd"/>
      <w:r w:rsidRPr="00C24766">
        <w:rPr>
          <w:rFonts w:eastAsia="Times New Roman"/>
          <w:color w:val="000000"/>
          <w:sz w:val="22"/>
          <w:szCs w:val="20"/>
        </w:rPr>
        <w:t xml:space="preserve"> the state” </w:t>
      </w:r>
      <w:r w:rsidRPr="00C24766">
        <w:rPr>
          <w:rFonts w:eastAsia="Times New Roman"/>
          <w:i/>
          <w:color w:val="000000"/>
          <w:sz w:val="22"/>
          <w:szCs w:val="20"/>
        </w:rPr>
        <w:t>or</w:t>
      </w:r>
      <w:r w:rsidRPr="00C24766">
        <w:rPr>
          <w:rFonts w:eastAsia="Times New Roman"/>
          <w:color w:val="000000"/>
          <w:sz w:val="22"/>
          <w:szCs w:val="20"/>
        </w:rPr>
        <w:t xml:space="preserve"> “in defense of himself.” Bearing arms can include community protection or personal protection.</w:t>
      </w:r>
      <w:r w:rsidRPr="00C24766">
        <w:rPr>
          <w:rFonts w:eastAsia="Times New Roman"/>
          <w:color w:val="000000"/>
          <w:sz w:val="22"/>
          <w:vertAlign w:val="superscript"/>
        </w:rPr>
        <w:endnoteReference w:id="54"/>
      </w:r>
      <w:r w:rsidRPr="00C24766">
        <w:rPr>
          <w:rFonts w:eastAsia="Times New Roman"/>
          <w:color w:val="000000"/>
          <w:sz w:val="22"/>
          <w:vertAlign w:val="superscript"/>
        </w:rPr>
        <w:t>[54]</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Arizona</w:t>
          </w:r>
        </w:smartTag>
      </w:smartTag>
      <w:r w:rsidRPr="00C24766">
        <w:rPr>
          <w:rFonts w:eastAsia="Times New Roman"/>
          <w:b/>
          <w:color w:val="000000"/>
          <w:sz w:val="22"/>
          <w:szCs w:val="20"/>
        </w:rPr>
        <w:t xml:space="preserve"> and </w:t>
      </w:r>
      <w:smartTag w:uri="urn:schemas-microsoft-com:office:smarttags" w:element="State">
        <w:smartTag w:uri="urn:schemas-microsoft-com:office:smarttags" w:element="place">
          <w:r w:rsidRPr="00C24766">
            <w:rPr>
              <w:rFonts w:eastAsia="Times New Roman"/>
              <w:b/>
              <w:color w:val="000000"/>
              <w:sz w:val="22"/>
              <w:szCs w:val="20"/>
            </w:rPr>
            <w:t>Washington</w:t>
          </w:r>
        </w:smartTag>
      </w:smartTag>
      <w:r w:rsidRPr="00C24766">
        <w:rPr>
          <w:rFonts w:eastAsia="Times New Roman"/>
          <w:b/>
          <w:color w:val="000000"/>
          <w:sz w:val="22"/>
          <w:szCs w:val="20"/>
        </w:rPr>
        <w:t xml:space="preserve">: </w:t>
      </w:r>
      <w:r w:rsidRPr="00C24766">
        <w:rPr>
          <w:rFonts w:eastAsia="Times New Roman"/>
          <w:color w:val="000000"/>
          <w:sz w:val="22"/>
          <w:szCs w:val="20"/>
        </w:rPr>
        <w:t xml:space="preserve">These states were among the last to be admitted to the </w:t>
      </w:r>
      <w:smartTag w:uri="urn:schemas-microsoft-com:office:smarttags" w:element="place">
        <w:r w:rsidRPr="00C24766">
          <w:rPr>
            <w:rFonts w:eastAsia="Times New Roman"/>
            <w:color w:val="000000"/>
            <w:sz w:val="22"/>
            <w:szCs w:val="20"/>
          </w:rPr>
          <w:t>Union</w:t>
        </w:r>
      </w:smartTag>
      <w:r w:rsidRPr="00C24766">
        <w:rPr>
          <w:rFonts w:eastAsia="Times New Roman"/>
          <w:color w:val="000000"/>
          <w:sz w:val="22"/>
          <w:szCs w:val="20"/>
        </w:rPr>
        <w:t>.</w:t>
      </w:r>
      <w:r w:rsidRPr="00C24766">
        <w:rPr>
          <w:rFonts w:eastAsia="Times New Roman"/>
          <w:color w:val="000000"/>
          <w:sz w:val="22"/>
          <w:vertAlign w:val="superscript"/>
        </w:rPr>
        <w:endnoteReference w:id="55"/>
      </w:r>
      <w:r w:rsidRPr="00C24766">
        <w:rPr>
          <w:rFonts w:eastAsia="Times New Roman"/>
          <w:color w:val="000000"/>
          <w:sz w:val="22"/>
          <w:vertAlign w:val="superscript"/>
        </w:rPr>
        <w:t>[55]</w:t>
      </w:r>
      <w:r w:rsidRPr="00C24766">
        <w:rPr>
          <w:rFonts w:eastAsia="Times New Roman"/>
          <w:color w:val="000000"/>
          <w:sz w:val="22"/>
          <w:szCs w:val="20"/>
        </w:rPr>
        <w:t xml:space="preserve"> Their right to arms language is identical: “The right of the individual citizen to bear arms in defense of himself, or the state, shall not be impaired, but nothing in this section shall be construed as authorizing individuals or corporations to organize, maintain or employ an armed body of men.”</w:t>
      </w:r>
      <w:r w:rsidRPr="00C24766">
        <w:rPr>
          <w:rFonts w:eastAsia="Times New Roman"/>
          <w:color w:val="000000"/>
          <w:sz w:val="22"/>
          <w:vertAlign w:val="superscript"/>
        </w:rPr>
        <w:endnoteReference w:id="56"/>
      </w:r>
      <w:r w:rsidRPr="00C24766">
        <w:rPr>
          <w:rFonts w:eastAsia="Times New Roman"/>
          <w:color w:val="000000"/>
          <w:sz w:val="22"/>
          <w:vertAlign w:val="superscript"/>
        </w:rPr>
        <w:t>[56]</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The Washington and Arizona Constitutions make explicit a principle which has been considered </w:t>
      </w:r>
      <w:r w:rsidRPr="00C24766">
        <w:rPr>
          <w:rFonts w:eastAsia="Times New Roman"/>
          <w:color w:val="000000"/>
          <w:sz w:val="22"/>
        </w:rPr>
        <w:t>implicit</w:t>
      </w:r>
      <w:r w:rsidRPr="00C24766">
        <w:rPr>
          <w:rFonts w:eastAsia="Times New Roman"/>
          <w:color w:val="000000"/>
          <w:sz w:val="22"/>
          <w:szCs w:val="20"/>
        </w:rPr>
        <w:t xml:space="preserve"> in the Second Amendment: protection of an individual right “to bear arms” does not forbid the government from controlling large assemblies of armed men.</w:t>
      </w:r>
      <w:r w:rsidRPr="00C24766">
        <w:rPr>
          <w:rFonts w:eastAsia="Times New Roman"/>
          <w:color w:val="000000"/>
          <w:sz w:val="22"/>
          <w:vertAlign w:val="superscript"/>
        </w:rPr>
        <w:endnoteReference w:id="57"/>
      </w:r>
      <w:r w:rsidRPr="00C24766">
        <w:rPr>
          <w:rFonts w:eastAsia="Times New Roman"/>
          <w:color w:val="000000"/>
          <w:sz w:val="22"/>
          <w:vertAlign w:val="superscript"/>
        </w:rPr>
        <w:t>[57]</w:t>
      </w:r>
      <w:r w:rsidRPr="00C24766">
        <w:rPr>
          <w:rFonts w:eastAsia="Times New Roman"/>
          <w:color w:val="000000"/>
          <w:sz w:val="22"/>
          <w:szCs w:val="20"/>
        </w:rPr>
        <w:t xml:space="preserve"> Just a few years before the Washington Constitution was adopted, the U.S. Supreme Court upheld a state ban on armed parades in public, even as the Court plainly treated the Second Amendment as an individual right protected against federal infringement.</w:t>
      </w:r>
      <w:r w:rsidRPr="00C24766">
        <w:rPr>
          <w:rFonts w:eastAsia="Times New Roman"/>
          <w:color w:val="000000"/>
          <w:sz w:val="22"/>
          <w:vertAlign w:val="superscript"/>
        </w:rPr>
        <w:endnoteReference w:id="58"/>
      </w:r>
      <w:r w:rsidRPr="00C24766">
        <w:rPr>
          <w:rFonts w:eastAsia="Times New Roman"/>
          <w:color w:val="000000"/>
          <w:sz w:val="22"/>
          <w:vertAlign w:val="superscript"/>
        </w:rPr>
        <w:t>[58]</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Arkansas</w:t>
          </w:r>
        </w:smartTag>
      </w:smartTag>
      <w:r w:rsidRPr="00C24766">
        <w:rPr>
          <w:rFonts w:eastAsia="Times New Roman"/>
          <w:b/>
          <w:color w:val="000000"/>
          <w:sz w:val="22"/>
          <w:szCs w:val="20"/>
        </w:rPr>
        <w:t>:</w:t>
      </w:r>
      <w:r w:rsidRPr="00C24766">
        <w:rPr>
          <w:rFonts w:eastAsia="Times New Roman"/>
          <w:color w:val="000000"/>
          <w:sz w:val="22"/>
          <w:szCs w:val="20"/>
        </w:rPr>
        <w:t xml:space="preserve"> “The citizens of this State shall have the right to keep and bear arms for their common defense.</w:t>
      </w:r>
      <w:r w:rsidRPr="00C24766">
        <w:rPr>
          <w:rFonts w:eastAsia="Times New Roman"/>
          <w:color w:val="000000"/>
          <w:sz w:val="22"/>
          <w:vertAlign w:val="superscript"/>
        </w:rPr>
        <w:endnoteReference w:id="59"/>
      </w:r>
      <w:r w:rsidRPr="00C24766">
        <w:rPr>
          <w:rFonts w:eastAsia="Times New Roman"/>
          <w:color w:val="000000"/>
          <w:sz w:val="22"/>
          <w:vertAlign w:val="superscript"/>
        </w:rPr>
        <w:t>[59]</w:t>
      </w:r>
      <w:r w:rsidRPr="00C24766">
        <w:rPr>
          <w:rFonts w:eastAsia="Times New Roman"/>
          <w:color w:val="000000"/>
          <w:sz w:val="22"/>
          <w:szCs w:val="20"/>
        </w:rPr>
        <w:t xml:space="preserve"> As in many states,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’s state constitution is narrower than the Second Amendment, because it guarantees the right only “for their common defense.”</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An 1842 case interpreted the state constitution narrowly, holding that it protected only the kind of people who might serve the militia, i.e. free males, and only the kind of weapons suitable for militia use.</w:t>
      </w:r>
      <w:r w:rsidRPr="00C24766">
        <w:rPr>
          <w:rFonts w:eastAsia="Times New Roman"/>
          <w:color w:val="000000"/>
          <w:sz w:val="22"/>
        </w:rPr>
        <w:endnoteReference w:id="60"/>
      </w:r>
      <w:r w:rsidRPr="00C24766">
        <w:rPr>
          <w:rFonts w:eastAsia="Times New Roman"/>
          <w:color w:val="000000"/>
          <w:sz w:val="22"/>
        </w:rPr>
        <w:t>[60]</w:t>
      </w:r>
      <w:r w:rsidRPr="00C24766">
        <w:rPr>
          <w:rFonts w:eastAsia="Times New Roman"/>
          <w:color w:val="000000"/>
          <w:sz w:val="22"/>
          <w:szCs w:val="20"/>
        </w:rPr>
        <w:t xml:space="preserve"> A concurring opinion stated that “The provision of the Federal Constitution [and of the state Constitution</w:t>
      </w:r>
      <w:proofErr w:type="gramStart"/>
      <w:r w:rsidRPr="00C24766">
        <w:rPr>
          <w:rFonts w:eastAsia="Times New Roman"/>
          <w:color w:val="000000"/>
          <w:sz w:val="22"/>
          <w:szCs w:val="20"/>
        </w:rPr>
        <w:t>] .</w:t>
      </w:r>
      <w:proofErr w:type="gramEnd"/>
      <w:r w:rsidRPr="00C24766">
        <w:rPr>
          <w:rFonts w:eastAsia="Times New Roman"/>
          <w:color w:val="000000"/>
          <w:sz w:val="22"/>
          <w:szCs w:val="20"/>
        </w:rPr>
        <w:t xml:space="preserve"> . . is </w:t>
      </w:r>
      <w:r w:rsidRPr="00C24766">
        <w:rPr>
          <w:rFonts w:eastAsia="Times New Roman"/>
          <w:color w:val="000000"/>
          <w:sz w:val="22"/>
          <w:szCs w:val="20"/>
        </w:rPr>
        <w:lastRenderedPageBreak/>
        <w:t>but an assertion of that general right of sovereignty belonging to independent nations, to regulate their military force.”</w:t>
      </w:r>
      <w:r w:rsidRPr="00C24766">
        <w:rPr>
          <w:rFonts w:eastAsia="Times New Roman"/>
          <w:color w:val="000000"/>
          <w:sz w:val="22"/>
          <w:vertAlign w:val="superscript"/>
        </w:rPr>
        <w:endnoteReference w:id="61"/>
      </w:r>
      <w:r w:rsidRPr="00C24766">
        <w:rPr>
          <w:rFonts w:eastAsia="Times New Roman"/>
          <w:color w:val="000000"/>
          <w:sz w:val="22"/>
          <w:vertAlign w:val="superscript"/>
        </w:rPr>
        <w:t>[61]</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This concurrence was never followed in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and does not appear to have been cited in any court for the remainder of the nineteenth century. Subsequent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case law has interpreted the state constitution to guarantee all law-abiding Arkansans the right to own firearms.</w:t>
      </w:r>
      <w:r w:rsidRPr="00C24766">
        <w:rPr>
          <w:rFonts w:eastAsia="Times New Roman"/>
          <w:color w:val="000000"/>
          <w:sz w:val="22"/>
          <w:vertAlign w:val="superscript"/>
        </w:rPr>
        <w:endnoteReference w:id="62"/>
      </w:r>
      <w:r w:rsidRPr="00C24766">
        <w:rPr>
          <w:rFonts w:eastAsia="Times New Roman"/>
          <w:color w:val="000000"/>
          <w:sz w:val="22"/>
          <w:vertAlign w:val="superscript"/>
        </w:rPr>
        <w:t>[62]</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courts apply the “common defense” language so that the right only includes the </w:t>
      </w:r>
      <w:r w:rsidRPr="00C24766">
        <w:rPr>
          <w:rFonts w:eastAsia="Times New Roman"/>
          <w:i/>
          <w:color w:val="000000"/>
          <w:sz w:val="22"/>
          <w:szCs w:val="20"/>
        </w:rPr>
        <w:t>type</w:t>
      </w:r>
      <w:r w:rsidRPr="00C24766">
        <w:rPr>
          <w:rFonts w:eastAsia="Times New Roman"/>
          <w:color w:val="000000"/>
          <w:sz w:val="22"/>
          <w:szCs w:val="20"/>
        </w:rPr>
        <w:t xml:space="preserve"> of arms that might be useful for militia service.</w:t>
      </w:r>
      <w:r w:rsidRPr="00C24766">
        <w:rPr>
          <w:rFonts w:eastAsia="Times New Roman"/>
          <w:color w:val="000000"/>
          <w:sz w:val="22"/>
          <w:vertAlign w:val="superscript"/>
        </w:rPr>
        <w:endnoteReference w:id="63"/>
      </w:r>
      <w:r w:rsidRPr="00C24766">
        <w:rPr>
          <w:rFonts w:eastAsia="Times New Roman"/>
          <w:color w:val="000000"/>
          <w:sz w:val="22"/>
          <w:vertAlign w:val="superscript"/>
        </w:rPr>
        <w:t>[63]</w:t>
      </w:r>
      <w:r w:rsidRPr="00C24766">
        <w:rPr>
          <w:rFonts w:eastAsia="Times New Roman"/>
          <w:color w:val="000000"/>
          <w:sz w:val="22"/>
          <w:szCs w:val="20"/>
        </w:rPr>
        <w:t xml:space="preserve"> For example, in </w:t>
      </w:r>
      <w:r w:rsidRPr="00C24766">
        <w:rPr>
          <w:rFonts w:eastAsia="Times New Roman"/>
          <w:i/>
          <w:color w:val="000000"/>
          <w:sz w:val="22"/>
          <w:szCs w:val="20"/>
        </w:rPr>
        <w:t>Fife v. State</w:t>
      </w:r>
      <w:r w:rsidRPr="00C24766">
        <w:rPr>
          <w:rFonts w:eastAsia="Times New Roman"/>
          <w:color w:val="000000"/>
          <w:sz w:val="22"/>
          <w:szCs w:val="20"/>
        </w:rPr>
        <w:t>,</w:t>
      </w:r>
      <w:r w:rsidRPr="00C24766">
        <w:rPr>
          <w:rFonts w:eastAsia="Times New Roman"/>
          <w:color w:val="000000"/>
          <w:sz w:val="22"/>
          <w:vertAlign w:val="superscript"/>
        </w:rPr>
        <w:endnoteReference w:id="64"/>
      </w:r>
      <w:r w:rsidRPr="00C24766">
        <w:rPr>
          <w:rFonts w:eastAsia="Times New Roman"/>
          <w:color w:val="000000"/>
          <w:sz w:val="22"/>
          <w:vertAlign w:val="superscript"/>
        </w:rPr>
        <w:t>[64]</w:t>
      </w:r>
      <w:r w:rsidRPr="00C24766">
        <w:rPr>
          <w:rFonts w:eastAsia="Times New Roman"/>
          <w:color w:val="000000"/>
          <w:sz w:val="22"/>
          <w:szCs w:val="20"/>
        </w:rPr>
        <w:t xml:space="preserve"> an 1876 decision, the Arkansas Supreme Court held that large military-sized pistols are within the scope of the arms right, but small concealable handguns are not.</w:t>
      </w:r>
      <w:r w:rsidRPr="00C24766">
        <w:rPr>
          <w:rFonts w:eastAsia="Times New Roman"/>
          <w:color w:val="000000"/>
          <w:sz w:val="22"/>
          <w:vertAlign w:val="superscript"/>
        </w:rPr>
        <w:endnoteReference w:id="65"/>
      </w:r>
      <w:r w:rsidRPr="00C24766">
        <w:rPr>
          <w:rFonts w:eastAsia="Times New Roman"/>
          <w:color w:val="000000"/>
          <w:sz w:val="22"/>
          <w:vertAlign w:val="superscript"/>
        </w:rPr>
        <w:t>[65]</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Thus, the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courts effectuate every word of the state constitution: the right belongs to every “citizen” but the right includes only ownership of the type of firearms useable for the “common defense.” The </w:t>
      </w:r>
      <w:r w:rsidRPr="00C24766">
        <w:rPr>
          <w:rFonts w:eastAsia="Times New Roman"/>
          <w:i/>
          <w:color w:val="000000"/>
          <w:sz w:val="22"/>
          <w:szCs w:val="20"/>
        </w:rPr>
        <w:t>Fife</w:t>
      </w:r>
      <w:r w:rsidRPr="00C24766">
        <w:rPr>
          <w:rFonts w:eastAsia="Times New Roman"/>
          <w:color w:val="000000"/>
          <w:sz w:val="22"/>
          <w:szCs w:val="20"/>
        </w:rPr>
        <w:t xml:space="preserve"> case is one of many state cases whose precedent was followed in </w:t>
      </w:r>
      <w:r w:rsidRPr="00C24766">
        <w:rPr>
          <w:rFonts w:eastAsia="Times New Roman"/>
          <w:i/>
          <w:color w:val="000000"/>
          <w:sz w:val="22"/>
          <w:szCs w:val="20"/>
        </w:rPr>
        <w:t>United States v. Miller</w:t>
      </w:r>
      <w:r w:rsidRPr="00C24766">
        <w:rPr>
          <w:rFonts w:eastAsia="Times New Roman"/>
          <w:color w:val="000000"/>
          <w:sz w:val="22"/>
          <w:szCs w:val="22"/>
        </w:rPr>
        <w:t>,</w:t>
      </w:r>
      <w:r w:rsidRPr="00C24766">
        <w:rPr>
          <w:rFonts w:eastAsia="Times New Roman"/>
          <w:color w:val="000000"/>
          <w:sz w:val="22"/>
          <w:vertAlign w:val="superscript"/>
        </w:rPr>
        <w:endnoteReference w:id="66"/>
      </w:r>
      <w:r w:rsidRPr="00C24766">
        <w:rPr>
          <w:rFonts w:eastAsia="Times New Roman"/>
          <w:color w:val="000000"/>
          <w:sz w:val="22"/>
          <w:vertAlign w:val="superscript"/>
        </w:rPr>
        <w:t>[66]</w:t>
      </w:r>
      <w:r w:rsidRPr="00C24766">
        <w:rPr>
          <w:rFonts w:eastAsia="Times New Roman"/>
          <w:color w:val="000000"/>
          <w:sz w:val="22"/>
          <w:szCs w:val="20"/>
        </w:rPr>
        <w:t xml:space="preserve"> which allowed for a Second Amendment claim on behalf of two individual citizens (Jack Miller and Frank Layton, who were not in any militia), while holding that the Second Amendment does not extend to firearms which are unsuitable for militia use.</w:t>
      </w:r>
      <w:r w:rsidRPr="00C24766">
        <w:rPr>
          <w:rFonts w:eastAsia="Times New Roman"/>
          <w:color w:val="000000"/>
          <w:sz w:val="22"/>
          <w:vertAlign w:val="superscript"/>
        </w:rPr>
        <w:endnoteReference w:id="67"/>
      </w:r>
      <w:r w:rsidRPr="00C24766">
        <w:rPr>
          <w:rFonts w:eastAsia="Times New Roman"/>
          <w:color w:val="000000"/>
          <w:sz w:val="22"/>
          <w:vertAlign w:val="superscript"/>
        </w:rPr>
        <w:t>[67]</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Colorado</w:t>
          </w:r>
        </w:smartTag>
      </w:smartTag>
      <w:r w:rsidRPr="00C24766">
        <w:rPr>
          <w:rFonts w:eastAsia="Times New Roman"/>
          <w:color w:val="000000"/>
          <w:sz w:val="22"/>
          <w:szCs w:val="20"/>
        </w:rPr>
        <w:t>: “The right of no person to keep and bear arms in defense of his home, person and property, or in aid of the civil power when thereto legally summoned, shall be called in question; but nothing herein contained shall be construed to justify the practice of carrying concealed weapons.”</w:t>
      </w:r>
      <w:r w:rsidRPr="00C24766">
        <w:rPr>
          <w:rFonts w:eastAsia="Times New Roman"/>
          <w:color w:val="000000"/>
          <w:sz w:val="22"/>
          <w:vertAlign w:val="superscript"/>
        </w:rPr>
        <w:endnoteReference w:id="68"/>
      </w:r>
      <w:r w:rsidRPr="00C24766">
        <w:rPr>
          <w:rFonts w:eastAsia="Times New Roman"/>
          <w:color w:val="000000"/>
          <w:sz w:val="22"/>
          <w:vertAlign w:val="superscript"/>
        </w:rPr>
        <w:t>[68]</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Again, the phrase “keep and bear arms” is used for more than militia use. The Colorado Constitution shows that a person may “keep and bear arms in defense of his home, person, or property.”</w:t>
      </w:r>
      <w:r w:rsidRPr="00C24766">
        <w:rPr>
          <w:rFonts w:eastAsia="Times New Roman"/>
          <w:color w:val="000000"/>
          <w:sz w:val="22"/>
          <w:vertAlign w:val="superscript"/>
        </w:rPr>
        <w:endnoteReference w:id="69"/>
      </w:r>
      <w:r w:rsidRPr="00C24766">
        <w:rPr>
          <w:rFonts w:eastAsia="Times New Roman"/>
          <w:color w:val="000000"/>
          <w:sz w:val="22"/>
          <w:vertAlign w:val="superscript"/>
        </w:rPr>
        <w:t>[69]</w:t>
      </w:r>
      <w:r w:rsidRPr="00C24766">
        <w:rPr>
          <w:rFonts w:eastAsia="Times New Roman"/>
          <w:color w:val="000000"/>
          <w:sz w:val="22"/>
          <w:szCs w:val="20"/>
        </w:rPr>
        <w:t xml:space="preserve"> The </w:t>
      </w:r>
      <w:smartTag w:uri="urn:schemas-microsoft-com:office:smarttags" w:element="State">
        <w:smartTag w:uri="urn:schemas-microsoft-com:office:smarttags" w:element="place">
          <w:r w:rsidRPr="00C24766">
            <w:rPr>
              <w:rFonts w:eastAsia="Times New Roman"/>
              <w:color w:val="000000"/>
              <w:sz w:val="22"/>
              <w:szCs w:val="20"/>
            </w:rPr>
            <w:t>Colorado</w:t>
          </w:r>
        </w:smartTag>
      </w:smartTag>
      <w:r w:rsidRPr="00C24766">
        <w:rPr>
          <w:rFonts w:eastAsia="Times New Roman"/>
          <w:color w:val="000000"/>
          <w:sz w:val="22"/>
          <w:szCs w:val="20"/>
        </w:rPr>
        <w:t xml:space="preserve"> provision includes the concealed carry exception.</w:t>
      </w:r>
      <w:r w:rsidRPr="00C24766">
        <w:rPr>
          <w:rFonts w:eastAsia="Times New Roman"/>
          <w:color w:val="000000"/>
          <w:sz w:val="22"/>
          <w:vertAlign w:val="superscript"/>
        </w:rPr>
        <w:endnoteReference w:id="70"/>
      </w:r>
      <w:r w:rsidRPr="00C24766">
        <w:rPr>
          <w:rFonts w:eastAsia="Times New Roman"/>
          <w:color w:val="000000"/>
          <w:sz w:val="22"/>
          <w:vertAlign w:val="superscript"/>
        </w:rPr>
        <w:t>[70]</w:t>
      </w:r>
      <w:r w:rsidRPr="00C24766">
        <w:rPr>
          <w:rFonts w:eastAsia="Times New Roman"/>
          <w:color w:val="000000"/>
          <w:sz w:val="22"/>
          <w:szCs w:val="20"/>
        </w:rPr>
        <w:t xml:space="preserve"> The right is unquestionably individual.</w:t>
      </w:r>
      <w:r w:rsidRPr="00C24766">
        <w:rPr>
          <w:rFonts w:eastAsia="Times New Roman"/>
          <w:color w:val="000000"/>
          <w:sz w:val="22"/>
          <w:vertAlign w:val="superscript"/>
        </w:rPr>
        <w:endnoteReference w:id="71"/>
      </w:r>
      <w:r w:rsidRPr="00C24766">
        <w:rPr>
          <w:rFonts w:eastAsia="Times New Roman"/>
          <w:color w:val="000000"/>
          <w:sz w:val="22"/>
          <w:vertAlign w:val="superscript"/>
        </w:rPr>
        <w:t>[71]</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Connecticut</w:t>
          </w:r>
        </w:smartTag>
      </w:smartTag>
      <w:r w:rsidRPr="00C24766">
        <w:rPr>
          <w:rFonts w:eastAsia="Times New Roman"/>
          <w:b/>
          <w:color w:val="000000"/>
          <w:sz w:val="22"/>
          <w:szCs w:val="20"/>
        </w:rPr>
        <w:t>:</w:t>
      </w:r>
      <w:r w:rsidRPr="00C24766">
        <w:rPr>
          <w:rFonts w:eastAsia="Times New Roman"/>
          <w:color w:val="000000"/>
          <w:sz w:val="22"/>
          <w:szCs w:val="20"/>
        </w:rPr>
        <w:t xml:space="preserve"> “Every citizen has a right to bear arms in defense of </w:t>
      </w:r>
      <w:proofErr w:type="gramStart"/>
      <w:r w:rsidRPr="00C24766">
        <w:rPr>
          <w:rFonts w:eastAsia="Times New Roman"/>
          <w:color w:val="000000"/>
          <w:sz w:val="22"/>
          <w:szCs w:val="20"/>
        </w:rPr>
        <w:t>himself</w:t>
      </w:r>
      <w:proofErr w:type="gramEnd"/>
      <w:r w:rsidRPr="00C24766">
        <w:rPr>
          <w:rFonts w:eastAsia="Times New Roman"/>
          <w:color w:val="000000"/>
          <w:sz w:val="22"/>
          <w:szCs w:val="20"/>
        </w:rPr>
        <w:t xml:space="preserve"> and the state.”</w:t>
      </w:r>
      <w:r w:rsidRPr="00C24766">
        <w:rPr>
          <w:rFonts w:eastAsia="Times New Roman"/>
          <w:color w:val="000000"/>
          <w:sz w:val="22"/>
          <w:vertAlign w:val="superscript"/>
        </w:rPr>
        <w:endnoteReference w:id="72"/>
      </w:r>
      <w:r w:rsidRPr="00C24766">
        <w:rPr>
          <w:rFonts w:eastAsia="Times New Roman"/>
          <w:color w:val="000000"/>
          <w:sz w:val="22"/>
          <w:vertAlign w:val="superscript"/>
        </w:rPr>
        <w:t>[72]</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Connecticut</w:t>
          </w:r>
        </w:smartTag>
      </w:smartTag>
      <w:r w:rsidRPr="00C24766">
        <w:rPr>
          <w:rFonts w:eastAsia="Times New Roman"/>
          <w:color w:val="000000"/>
          <w:sz w:val="22"/>
          <w:szCs w:val="20"/>
        </w:rPr>
        <w:t xml:space="preserve"> too uses “bear arms” to encompass personal defense.</w:t>
      </w:r>
      <w:r w:rsidRPr="00C24766">
        <w:rPr>
          <w:rFonts w:eastAsia="Times New Roman"/>
          <w:color w:val="000000"/>
          <w:sz w:val="22"/>
          <w:vertAlign w:val="superscript"/>
        </w:rPr>
        <w:endnoteReference w:id="73"/>
      </w:r>
      <w:r w:rsidRPr="00C24766">
        <w:rPr>
          <w:rFonts w:eastAsia="Times New Roman"/>
          <w:color w:val="000000"/>
          <w:sz w:val="22"/>
          <w:vertAlign w:val="superscript"/>
        </w:rPr>
        <w:t>[73]</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Delaware</w:t>
          </w:r>
        </w:smartTag>
      </w:smartTag>
      <w:r w:rsidRPr="00C24766">
        <w:rPr>
          <w:rFonts w:eastAsia="Times New Roman"/>
          <w:b/>
          <w:color w:val="000000"/>
          <w:sz w:val="22"/>
          <w:szCs w:val="20"/>
        </w:rPr>
        <w:t>:</w:t>
      </w:r>
      <w:r w:rsidRPr="00C24766">
        <w:rPr>
          <w:rFonts w:eastAsia="Times New Roman"/>
          <w:color w:val="000000"/>
          <w:sz w:val="22"/>
          <w:szCs w:val="20"/>
        </w:rPr>
        <w:t xml:space="preserve"> “A person has the right to keep and bear arms for the defense of self, family, home and State, and for hunting and recreational use.”</w:t>
      </w:r>
      <w:r w:rsidRPr="00C24766">
        <w:rPr>
          <w:rFonts w:eastAsia="Times New Roman"/>
          <w:color w:val="000000"/>
          <w:sz w:val="22"/>
          <w:szCs w:val="20"/>
        </w:rPr>
        <w:footnoteRef/>
      </w:r>
      <w:r w:rsidRPr="00C24766">
        <w:rPr>
          <w:rFonts w:eastAsia="Times New Roman"/>
          <w:color w:val="000000"/>
          <w:sz w:val="22"/>
          <w:vertAlign w:val="superscript"/>
        </w:rPr>
        <w:endnoteReference w:customMarkFollows="1" w:id="74"/>
        <w:t>[74]</w:t>
      </w:r>
      <w:r w:rsidRPr="00C24766">
        <w:rPr>
          <w:rFonts w:eastAsia="Times New Roman"/>
          <w:color w:val="000000"/>
          <w:sz w:val="22"/>
          <w:szCs w:val="20"/>
        </w:rPr>
        <w:t xml:space="preserve">As </w:t>
      </w:r>
      <w:smartTag w:uri="urn:schemas-microsoft-com:office:smarttags" w:element="State">
        <w:smartTag w:uri="urn:schemas-microsoft-com:office:smarttags" w:element="place">
          <w:r w:rsidRPr="00C24766">
            <w:rPr>
              <w:rFonts w:eastAsia="Times New Roman"/>
              <w:color w:val="000000"/>
              <w:sz w:val="22"/>
              <w:szCs w:val="20"/>
            </w:rPr>
            <w:t>Delaware</w:t>
          </w:r>
        </w:smartTag>
      </w:smartTag>
      <w:r w:rsidRPr="00C24766">
        <w:rPr>
          <w:rFonts w:eastAsia="Times New Roman"/>
          <w:color w:val="000000"/>
          <w:sz w:val="22"/>
          <w:szCs w:val="20"/>
        </w:rPr>
        <w:t xml:space="preserve"> shows, “bear arms” can include “hunting and recreational use” as well as defense of “self, family, home and State.”</w:t>
      </w:r>
      <w:r w:rsidRPr="00C24766">
        <w:rPr>
          <w:rFonts w:eastAsia="Times New Roman"/>
          <w:color w:val="000000"/>
          <w:sz w:val="22"/>
          <w:vertAlign w:val="superscript"/>
        </w:rPr>
        <w:endnoteReference w:id="75"/>
      </w:r>
      <w:r w:rsidRPr="00C24766">
        <w:rPr>
          <w:rFonts w:eastAsia="Times New Roman"/>
          <w:color w:val="000000"/>
          <w:sz w:val="22"/>
          <w:vertAlign w:val="superscript"/>
        </w:rPr>
        <w:t>[75]</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rPr>
      </w:pPr>
      <w:r w:rsidRPr="00C24766">
        <w:rPr>
          <w:rFonts w:eastAsia="Times New Roman"/>
          <w:b/>
          <w:color w:val="000000"/>
          <w:sz w:val="22"/>
          <w:szCs w:val="20"/>
        </w:rPr>
        <w:t>Florida:</w:t>
      </w:r>
      <w:r w:rsidRPr="00C24766">
        <w:rPr>
          <w:rFonts w:eastAsia="Times New Roman"/>
          <w:color w:val="000000"/>
          <w:sz w:val="22"/>
          <w:szCs w:val="20"/>
        </w:rPr>
        <w:t xml:space="preserve"> As enacted in 1968, Florida’s provision states: “(a) The right of the people to keep and bear arms in defense of themselves and of the lawful authority of the state shall not be infringed, except that the manner of bearing arms may be regulated by law."</w:t>
      </w:r>
      <w:r w:rsidRPr="00C24766">
        <w:rPr>
          <w:rFonts w:eastAsia="Times New Roman"/>
          <w:color w:val="000000"/>
          <w:sz w:val="22"/>
          <w:vertAlign w:val="superscript"/>
        </w:rPr>
        <w:endnoteReference w:id="76"/>
      </w:r>
      <w:r w:rsidRPr="00C24766">
        <w:rPr>
          <w:rFonts w:eastAsia="Times New Roman"/>
          <w:color w:val="000000"/>
          <w:sz w:val="22"/>
          <w:vertAlign w:val="superscript"/>
        </w:rPr>
        <w:t>[76]</w:t>
      </w:r>
      <w:r w:rsidRPr="00C24766">
        <w:rPr>
          <w:rFonts w:eastAsia="Times New Roman"/>
          <w:color w:val="000000"/>
          <w:sz w:val="22"/>
          <w:szCs w:val="20"/>
        </w:rPr>
        <w:t xml:space="preserve"> Earlier versions were:</w:t>
      </w:r>
      <w:r w:rsidRPr="00C24766">
        <w:rPr>
          <w:rFonts w:eastAsia="Times New Roman"/>
          <w:color w:val="000000"/>
          <w:sz w:val="22"/>
          <w:szCs w:val="20"/>
        </w:rPr>
        <w:tab/>
      </w:r>
    </w:p>
    <w:p w:rsidR="00C24766" w:rsidRPr="00C24766" w:rsidRDefault="00C24766" w:rsidP="00C24766">
      <w:pPr>
        <w:jc w:val="both"/>
        <w:rPr>
          <w:rFonts w:eastAsia="Times New Roman"/>
          <w:color w:val="000000"/>
        </w:rPr>
      </w:pPr>
      <w:r w:rsidRPr="00C24766">
        <w:rPr>
          <w:rFonts w:eastAsia="Times New Roman"/>
          <w:color w:val="000000"/>
          <w:sz w:val="22"/>
          <w:szCs w:val="20"/>
        </w:rPr>
        <w:t xml:space="preserve">1838: “That the free white men of this State shall have a right to keep and to bear arms for their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w:t>
      </w:r>
      <w:r w:rsidRPr="00C24766">
        <w:rPr>
          <w:rFonts w:eastAsia="Times New Roman"/>
          <w:color w:val="000000"/>
          <w:sz w:val="22"/>
          <w:vertAlign w:val="superscript"/>
        </w:rPr>
        <w:endnoteReference w:id="77"/>
      </w:r>
      <w:r w:rsidRPr="00C24766">
        <w:rPr>
          <w:rFonts w:eastAsia="Times New Roman"/>
          <w:color w:val="000000"/>
          <w:sz w:val="22"/>
          <w:vertAlign w:val="superscript"/>
        </w:rPr>
        <w:t>[77]</w:t>
      </w:r>
    </w:p>
    <w:p w:rsidR="00C24766" w:rsidRPr="00C24766" w:rsidRDefault="00C24766" w:rsidP="00C24766">
      <w:pPr>
        <w:jc w:val="both"/>
        <w:rPr>
          <w:rFonts w:eastAsia="Times New Roman"/>
          <w:color w:val="000000"/>
        </w:rPr>
      </w:pPr>
      <w:r w:rsidRPr="00C24766">
        <w:rPr>
          <w:rFonts w:eastAsia="Times New Roman"/>
          <w:color w:val="000000"/>
          <w:sz w:val="22"/>
          <w:szCs w:val="20"/>
        </w:rPr>
        <w:t xml:space="preserve">1868: “The people shall have the right to bear arms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of the lawful authority of the State.”</w:t>
      </w:r>
      <w:r w:rsidRPr="00C24766">
        <w:rPr>
          <w:rFonts w:eastAsia="Times New Roman"/>
          <w:color w:val="000000"/>
          <w:sz w:val="22"/>
          <w:vertAlign w:val="superscript"/>
        </w:rPr>
        <w:endnoteReference w:id="78"/>
      </w:r>
      <w:r w:rsidRPr="00C24766">
        <w:rPr>
          <w:rFonts w:eastAsia="Times New Roman"/>
          <w:color w:val="000000"/>
          <w:sz w:val="22"/>
          <w:vertAlign w:val="superscript"/>
        </w:rPr>
        <w:t>[78]</w:t>
      </w:r>
    </w:p>
    <w:p w:rsidR="00C24766" w:rsidRPr="00C24766" w:rsidRDefault="00C24766" w:rsidP="00C24766">
      <w:pPr>
        <w:jc w:val="both"/>
        <w:rPr>
          <w:rFonts w:eastAsia="Times New Roman"/>
          <w:color w:val="000000"/>
        </w:rPr>
      </w:pPr>
      <w:r w:rsidRPr="00C24766">
        <w:rPr>
          <w:rFonts w:eastAsia="Times New Roman"/>
          <w:color w:val="000000"/>
          <w:sz w:val="22"/>
          <w:szCs w:val="20"/>
        </w:rPr>
        <w:t xml:space="preserve">1885: “The right of the people to bear arms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lawful authority of the </w:t>
      </w:r>
      <w:proofErr w:type="gramStart"/>
      <w:r w:rsidRPr="00C24766">
        <w:rPr>
          <w:rFonts w:eastAsia="Times New Roman"/>
          <w:color w:val="000000"/>
          <w:sz w:val="22"/>
          <w:szCs w:val="20"/>
        </w:rPr>
        <w:t>State,</w:t>
      </w:r>
      <w:proofErr w:type="gramEnd"/>
      <w:r w:rsidRPr="00C24766">
        <w:rPr>
          <w:rFonts w:eastAsia="Times New Roman"/>
          <w:color w:val="000000"/>
          <w:sz w:val="22"/>
          <w:szCs w:val="20"/>
        </w:rPr>
        <w:t xml:space="preserve"> shall not be infringed, but the Legislature may prescribe the manner in which they may be borne.”</w:t>
      </w:r>
      <w:r w:rsidRPr="00C24766">
        <w:rPr>
          <w:rFonts w:eastAsia="Times New Roman"/>
          <w:color w:val="000000"/>
          <w:sz w:val="22"/>
          <w:vertAlign w:val="superscript"/>
        </w:rPr>
        <w:endnoteReference w:id="79"/>
      </w:r>
      <w:r w:rsidRPr="00C24766">
        <w:rPr>
          <w:rFonts w:eastAsia="Times New Roman"/>
          <w:color w:val="000000"/>
          <w:sz w:val="22"/>
          <w:vertAlign w:val="superscript"/>
        </w:rPr>
        <w:t>[79]</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The people of </w:t>
      </w:r>
      <w:smartTag w:uri="urn:schemas-microsoft-com:office:smarttags" w:element="State">
        <w:smartTag w:uri="urn:schemas-microsoft-com:office:smarttags" w:element="place">
          <w:r w:rsidRPr="00C24766">
            <w:rPr>
              <w:rFonts w:eastAsia="Times New Roman"/>
              <w:color w:val="000000"/>
              <w:sz w:val="22"/>
              <w:szCs w:val="20"/>
            </w:rPr>
            <w:t>Florida</w:t>
          </w:r>
        </w:smartTag>
      </w:smartTag>
      <w:r w:rsidRPr="00C24766">
        <w:rPr>
          <w:rFonts w:eastAsia="Times New Roman"/>
          <w:color w:val="000000"/>
          <w:sz w:val="22"/>
          <w:szCs w:val="20"/>
        </w:rPr>
        <w:t xml:space="preserve"> have repeatedly used “right of the people to keep and bear arms” to protect the right of every individual citizen of </w:t>
      </w:r>
      <w:smartTag w:uri="urn:schemas-microsoft-com:office:smarttags" w:element="State">
        <w:smartTag w:uri="urn:schemas-microsoft-com:office:smarttags" w:element="place">
          <w:r w:rsidRPr="00C24766">
            <w:rPr>
              <w:rFonts w:eastAsia="Times New Roman"/>
              <w:color w:val="000000"/>
              <w:sz w:val="22"/>
              <w:szCs w:val="20"/>
            </w:rPr>
            <w:t>Florida</w:t>
          </w:r>
        </w:smartTag>
      </w:smartTag>
      <w:r w:rsidRPr="00C24766">
        <w:rPr>
          <w:rFonts w:eastAsia="Times New Roman"/>
          <w:color w:val="000000"/>
          <w:sz w:val="22"/>
          <w:szCs w:val="20"/>
        </w:rPr>
        <w:t xml:space="preserve"> to possess a firearm.</w:t>
      </w:r>
      <w:r w:rsidRPr="00C24766">
        <w:rPr>
          <w:rFonts w:eastAsia="Times New Roman"/>
          <w:color w:val="000000"/>
          <w:sz w:val="22"/>
          <w:vertAlign w:val="superscript"/>
        </w:rPr>
        <w:endnoteReference w:id="80"/>
      </w:r>
      <w:r w:rsidRPr="00C24766">
        <w:rPr>
          <w:rFonts w:eastAsia="Times New Roman"/>
          <w:color w:val="000000"/>
          <w:sz w:val="22"/>
          <w:vertAlign w:val="superscript"/>
        </w:rPr>
        <w:t>[80]</w:t>
      </w:r>
      <w:r w:rsidRPr="00C24766">
        <w:rPr>
          <w:rFonts w:eastAsia="Times New Roman"/>
          <w:color w:val="000000"/>
          <w:sz w:val="22"/>
          <w:szCs w:val="20"/>
        </w:rPr>
        <w:t xml:space="preserve"> If the Second Amendment does nothing more than protect state militias from federal interference, it is impossible to explain why language based on the Second Amendment appears again and again in state constitutional language throughout the nineteenth and twentieth </w:t>
      </w:r>
      <w:proofErr w:type="spellStart"/>
      <w:r w:rsidRPr="00C24766">
        <w:rPr>
          <w:rFonts w:eastAsia="Times New Roman"/>
          <w:color w:val="000000"/>
          <w:sz w:val="22"/>
          <w:szCs w:val="20"/>
        </w:rPr>
        <w:t>centuries</w:t>
      </w:r>
      <w:proofErr w:type="spellEnd"/>
      <w:r w:rsidRPr="00C24766">
        <w:rPr>
          <w:rFonts w:eastAsia="Times New Roman"/>
          <w:color w:val="000000"/>
          <w:sz w:val="22"/>
          <w:szCs w:val="20"/>
        </w:rPr>
        <w:t>.</w:t>
      </w:r>
    </w:p>
    <w:p w:rsidR="00C24766" w:rsidRPr="00C24766" w:rsidRDefault="00C24766" w:rsidP="00C24766">
      <w:pPr>
        <w:jc w:val="both"/>
        <w:rPr>
          <w:rFonts w:eastAsia="Times New Roman"/>
          <w:color w:val="000000"/>
        </w:rPr>
      </w:pPr>
      <w:smartTag w:uri="urn:schemas-microsoft-com:office:smarttags" w:element="country-region">
        <w:smartTag w:uri="urn:schemas-microsoft-com:office:smarttags" w:element="place">
          <w:r w:rsidRPr="00C24766">
            <w:rPr>
              <w:rFonts w:eastAsia="Times New Roman"/>
              <w:b/>
              <w:color w:val="000000"/>
              <w:sz w:val="22"/>
              <w:szCs w:val="20"/>
            </w:rPr>
            <w:t>Georgia</w:t>
          </w:r>
        </w:smartTag>
      </w:smartTag>
      <w:r w:rsidRPr="00C24766">
        <w:rPr>
          <w:rFonts w:eastAsia="Times New Roman"/>
          <w:b/>
          <w:color w:val="000000"/>
          <w:sz w:val="22"/>
          <w:szCs w:val="20"/>
        </w:rPr>
        <w:t>:</w:t>
      </w:r>
      <w:r w:rsidRPr="00C24766">
        <w:rPr>
          <w:rFonts w:eastAsia="Times New Roman"/>
          <w:color w:val="000000"/>
          <w:sz w:val="22"/>
          <w:szCs w:val="20"/>
        </w:rPr>
        <w:t xml:space="preserve"> “The right of the people to keep and bear arms shall not be infringed, but the General Assembly shall have power to prescribe the manner in which arms may be borne.”</w:t>
      </w:r>
      <w:r w:rsidRPr="00C24766">
        <w:rPr>
          <w:rFonts w:eastAsia="Times New Roman"/>
          <w:color w:val="000000"/>
          <w:sz w:val="22"/>
          <w:vertAlign w:val="superscript"/>
        </w:rPr>
        <w:endnoteReference w:id="81"/>
      </w:r>
      <w:r w:rsidRPr="00C24766">
        <w:rPr>
          <w:rFonts w:eastAsia="Times New Roman"/>
          <w:color w:val="000000"/>
          <w:sz w:val="22"/>
          <w:vertAlign w:val="superscript"/>
        </w:rPr>
        <w:t>[81]</w:t>
      </w:r>
    </w:p>
    <w:p w:rsidR="00C24766" w:rsidRPr="00C24766" w:rsidRDefault="00C24766" w:rsidP="00C24766">
      <w:pPr>
        <w:jc w:val="both"/>
        <w:rPr>
          <w:rFonts w:eastAsia="Times New Roman"/>
          <w:color w:val="000000"/>
        </w:rPr>
      </w:pPr>
      <w:r w:rsidRPr="00C24766">
        <w:rPr>
          <w:rFonts w:eastAsia="Times New Roman"/>
          <w:color w:val="000000"/>
          <w:sz w:val="22"/>
          <w:vertAlign w:val="superscript"/>
        </w:rPr>
        <w:t xml:space="preserve">    </w:t>
      </w:r>
      <w:r w:rsidRPr="00C24766">
        <w:rPr>
          <w:rFonts w:eastAsia="Times New Roman"/>
          <w:color w:val="000000"/>
          <w:sz w:val="22"/>
          <w:szCs w:val="20"/>
        </w:rPr>
        <w:t>Again, language nearly identical to the Second Amendment is used to guarantee a right of individuals.</w:t>
      </w:r>
      <w:r w:rsidRPr="00C24766">
        <w:rPr>
          <w:rFonts w:eastAsia="Times New Roman"/>
          <w:color w:val="000000"/>
          <w:sz w:val="22"/>
          <w:vertAlign w:val="superscript"/>
        </w:rPr>
        <w:endnoteReference w:id="82"/>
      </w:r>
      <w:r w:rsidRPr="00C24766">
        <w:rPr>
          <w:rFonts w:eastAsia="Times New Roman"/>
          <w:color w:val="000000"/>
          <w:sz w:val="22"/>
          <w:vertAlign w:val="superscript"/>
        </w:rPr>
        <w:t>[82]</w:t>
      </w:r>
      <w:r w:rsidRPr="00C24766">
        <w:rPr>
          <w:rFonts w:eastAsia="Times New Roman"/>
          <w:color w:val="000000"/>
          <w:sz w:val="22"/>
          <w:szCs w:val="20"/>
        </w:rPr>
        <w:t xml:space="preserve"> Before </w:t>
      </w:r>
      <w:smartTag w:uri="urn:schemas-microsoft-com:office:smarttags" w:element="country-region">
        <w:smartTag w:uri="urn:schemas-microsoft-com:office:smarttags" w:element="place">
          <w:r w:rsidRPr="00C24766">
            <w:rPr>
              <w:rFonts w:eastAsia="Times New Roman"/>
              <w:color w:val="000000"/>
              <w:sz w:val="22"/>
              <w:szCs w:val="20"/>
            </w:rPr>
            <w:t>Georgia</w:t>
          </w:r>
        </w:smartTag>
      </w:smartTag>
      <w:r w:rsidRPr="00C24766">
        <w:rPr>
          <w:rFonts w:eastAsia="Times New Roman"/>
          <w:color w:val="000000"/>
          <w:sz w:val="22"/>
          <w:szCs w:val="20"/>
        </w:rPr>
        <w:t xml:space="preserve"> had its own right to arms guarantee, the Georgia Supreme Court used the Second Amendment to declare a state handgun ban illegal.</w:t>
      </w:r>
      <w:r w:rsidRPr="00C24766">
        <w:rPr>
          <w:rFonts w:eastAsia="Times New Roman"/>
          <w:color w:val="000000"/>
          <w:sz w:val="22"/>
          <w:vertAlign w:val="superscript"/>
        </w:rPr>
        <w:endnoteReference w:id="83"/>
      </w:r>
      <w:r w:rsidRPr="00C24766">
        <w:rPr>
          <w:rFonts w:eastAsia="Times New Roman"/>
          <w:color w:val="000000"/>
          <w:sz w:val="22"/>
          <w:vertAlign w:val="superscript"/>
        </w:rPr>
        <w:t>[83]</w:t>
      </w:r>
      <w:r w:rsidRPr="00C24766">
        <w:rPr>
          <w:rFonts w:eastAsia="Times New Roman"/>
          <w:color w:val="000000"/>
          <w:sz w:val="22"/>
          <w:szCs w:val="20"/>
        </w:rPr>
        <w:t xml:space="preserve"> The Georgia Court explained that the Second Amendment protects:</w:t>
      </w:r>
    </w:p>
    <w:p w:rsidR="00C24766" w:rsidRPr="00C24766" w:rsidRDefault="00C24766" w:rsidP="00C24766">
      <w:pPr>
        <w:jc w:val="both"/>
        <w:rPr>
          <w:rFonts w:eastAsia="Times New Roman"/>
          <w:color w:val="000000"/>
        </w:rPr>
      </w:pPr>
      <w:r w:rsidRPr="00C24766">
        <w:rPr>
          <w:rFonts w:eastAsia="Times New Roman"/>
          <w:color w:val="000000"/>
          <w:sz w:val="22"/>
          <w:szCs w:val="20"/>
        </w:rPr>
        <w:t>The right of the whole people, old and young, men, women and boys, and not militia only, to keep and bear arms of every description, and not such merely as are used by the militia, shall not be infringed, curtailed, or broken in upon, in the smallest degree; and all this for the important end to be attained: the rearing up and qualifying a well</w:t>
      </w:r>
      <w:r w:rsidRPr="00C24766">
        <w:rPr>
          <w:rFonts w:eastAsia="Times New Roman"/>
          <w:color w:val="000000"/>
          <w:sz w:val="22"/>
          <w:szCs w:val="20"/>
        </w:rPr>
        <w:noBreakHyphen/>
      </w:r>
      <w:proofErr w:type="spellStart"/>
      <w:r w:rsidRPr="00C24766">
        <w:rPr>
          <w:rFonts w:eastAsia="Times New Roman"/>
          <w:color w:val="000000"/>
          <w:sz w:val="22"/>
          <w:szCs w:val="20"/>
        </w:rPr>
        <w:t>regulated</w:t>
      </w:r>
      <w:proofErr w:type="spellEnd"/>
      <w:r w:rsidRPr="00C24766">
        <w:rPr>
          <w:rFonts w:eastAsia="Times New Roman"/>
          <w:color w:val="000000"/>
          <w:sz w:val="22"/>
          <w:szCs w:val="20"/>
        </w:rPr>
        <w:t xml:space="preserve"> militia, so vitally necessary to the security of free State.</w:t>
      </w:r>
      <w:r w:rsidRPr="00C24766">
        <w:rPr>
          <w:rFonts w:eastAsia="Times New Roman"/>
          <w:color w:val="000000"/>
          <w:vertAlign w:val="superscript"/>
        </w:rPr>
        <w:endnoteReference w:id="84"/>
      </w:r>
      <w:r w:rsidRPr="00C24766">
        <w:rPr>
          <w:rFonts w:eastAsia="Times New Roman"/>
          <w:color w:val="000000"/>
          <w:sz w:val="22"/>
          <w:vertAlign w:val="superscript"/>
        </w:rPr>
        <w:t>[84]</w:t>
      </w:r>
    </w:p>
    <w:p w:rsidR="00C24766" w:rsidRPr="00C24766" w:rsidRDefault="00C24766" w:rsidP="00C24766">
      <w:pPr>
        <w:jc w:val="both"/>
        <w:rPr>
          <w:rFonts w:eastAsia="Times New Roman"/>
          <w:color w:val="000000"/>
        </w:rPr>
      </w:pPr>
      <w:r w:rsidRPr="00C24766">
        <w:rPr>
          <w:rFonts w:eastAsia="Times New Roman"/>
          <w:color w:val="000000"/>
          <w:sz w:val="22"/>
          <w:szCs w:val="20"/>
        </w:rPr>
        <w:t xml:space="preserve">    The </w:t>
      </w:r>
      <w:r w:rsidRPr="00C24766">
        <w:rPr>
          <w:rFonts w:eastAsia="Times New Roman"/>
          <w:i/>
          <w:color w:val="000000"/>
          <w:sz w:val="22"/>
          <w:szCs w:val="20"/>
        </w:rPr>
        <w:t>Nunn</w:t>
      </w:r>
      <w:r w:rsidRPr="00C24766">
        <w:rPr>
          <w:rFonts w:eastAsia="Times New Roman"/>
          <w:color w:val="000000"/>
          <w:sz w:val="22"/>
          <w:szCs w:val="20"/>
        </w:rPr>
        <w:t xml:space="preserve"> decision was consistent with </w:t>
      </w:r>
      <w:r w:rsidRPr="00C24766">
        <w:rPr>
          <w:rFonts w:eastAsia="Times New Roman"/>
          <w:i/>
          <w:color w:val="000000"/>
          <w:sz w:val="22"/>
          <w:szCs w:val="20"/>
        </w:rPr>
        <w:t>every</w:t>
      </w:r>
      <w:r w:rsidRPr="00C24766">
        <w:rPr>
          <w:rFonts w:eastAsia="Times New Roman"/>
          <w:color w:val="000000"/>
          <w:sz w:val="22"/>
          <w:szCs w:val="20"/>
        </w:rPr>
        <w:t xml:space="preserve"> nineteenth century Supreme Court case, </w:t>
      </w:r>
      <w:r w:rsidRPr="00C24766">
        <w:rPr>
          <w:rFonts w:eastAsia="Times New Roman"/>
          <w:i/>
          <w:color w:val="000000"/>
          <w:sz w:val="22"/>
          <w:szCs w:val="20"/>
        </w:rPr>
        <w:t xml:space="preserve">every </w:t>
      </w:r>
      <w:r w:rsidRPr="00C24766">
        <w:rPr>
          <w:rFonts w:eastAsia="Times New Roman"/>
          <w:color w:val="000000"/>
          <w:sz w:val="22"/>
          <w:szCs w:val="20"/>
        </w:rPr>
        <w:t xml:space="preserve">state court </w:t>
      </w:r>
      <w:proofErr w:type="gramStart"/>
      <w:r w:rsidRPr="00C24766">
        <w:rPr>
          <w:rFonts w:eastAsia="Times New Roman"/>
          <w:color w:val="000000"/>
          <w:sz w:val="22"/>
          <w:szCs w:val="20"/>
        </w:rPr>
        <w:t>case</w:t>
      </w:r>
      <w:proofErr w:type="gramEnd"/>
      <w:r w:rsidRPr="00C24766">
        <w:rPr>
          <w:rFonts w:eastAsia="Times New Roman"/>
          <w:color w:val="000000"/>
          <w:sz w:val="22"/>
          <w:vertAlign w:val="superscript"/>
        </w:rPr>
        <w:endnoteReference w:id="85"/>
      </w:r>
      <w:r w:rsidRPr="00C24766">
        <w:rPr>
          <w:rFonts w:eastAsia="Times New Roman"/>
          <w:color w:val="000000"/>
          <w:sz w:val="22"/>
          <w:vertAlign w:val="superscript"/>
        </w:rPr>
        <w:t>[85]</w:t>
      </w:r>
      <w:r w:rsidRPr="00C24766">
        <w:rPr>
          <w:rFonts w:eastAsia="Times New Roman"/>
          <w:color w:val="000000"/>
          <w:sz w:val="22"/>
          <w:szCs w:val="20"/>
        </w:rPr>
        <w:t xml:space="preserve"> and </w:t>
      </w:r>
      <w:r w:rsidRPr="00C24766">
        <w:rPr>
          <w:rFonts w:eastAsia="Times New Roman"/>
          <w:i/>
          <w:color w:val="000000"/>
          <w:sz w:val="22"/>
          <w:szCs w:val="20"/>
        </w:rPr>
        <w:t>every</w:t>
      </w:r>
      <w:r w:rsidRPr="00C24766">
        <w:rPr>
          <w:rFonts w:eastAsia="Times New Roman"/>
          <w:color w:val="000000"/>
          <w:sz w:val="22"/>
          <w:szCs w:val="20"/>
        </w:rPr>
        <w:t xml:space="preserve"> legal treatise which discussed the Second Amendment. Throughout the nineteenth century, it was undisputed that the Second Amendment guaranteed an individual right of every citizen to own and carry firearms.</w:t>
      </w:r>
      <w:r w:rsidRPr="00C24766">
        <w:rPr>
          <w:rFonts w:eastAsia="Times New Roman"/>
          <w:color w:val="000000"/>
          <w:sz w:val="22"/>
          <w:vertAlign w:val="superscript"/>
        </w:rPr>
        <w:endnoteReference w:id="86"/>
      </w:r>
      <w:r w:rsidRPr="00C24766">
        <w:rPr>
          <w:rFonts w:eastAsia="Times New Roman"/>
          <w:color w:val="000000"/>
          <w:sz w:val="22"/>
          <w:vertAlign w:val="superscript"/>
        </w:rPr>
        <w:t>[86]</w:t>
      </w:r>
    </w:p>
    <w:p w:rsidR="00C24766" w:rsidRPr="00C24766" w:rsidRDefault="00C24766" w:rsidP="00C24766">
      <w:pPr>
        <w:jc w:val="both"/>
        <w:rPr>
          <w:rFonts w:eastAsia="Times New Roman"/>
          <w:color w:val="000000"/>
          <w:sz w:val="22"/>
          <w:szCs w:val="20"/>
        </w:rPr>
      </w:pPr>
      <w:r w:rsidRPr="00C24766">
        <w:rPr>
          <w:rFonts w:eastAsia="Times New Roman"/>
          <w:b/>
          <w:color w:val="000000"/>
          <w:sz w:val="22"/>
          <w:szCs w:val="20"/>
        </w:rPr>
        <w:t>Idaho:</w:t>
      </w:r>
      <w:r w:rsidRPr="00C24766">
        <w:rPr>
          <w:rFonts w:eastAsia="Times New Roman"/>
          <w:color w:val="000000"/>
          <w:sz w:val="22"/>
          <w:szCs w:val="20"/>
        </w:rPr>
        <w:t xml:space="preserve"> The people have the right to keep and bear arms, which right shall not be abridged; but this provision shall not prevent the passage of laws to govern the carrying of weapons concealed on the person nor prevent passage of legislation providing minimum sentences for crimes committed while in possession of a firearm, nor </w:t>
      </w:r>
      <w:r w:rsidRPr="00C24766">
        <w:rPr>
          <w:rFonts w:eastAsia="Times New Roman"/>
          <w:color w:val="000000"/>
          <w:sz w:val="22"/>
          <w:szCs w:val="20"/>
        </w:rPr>
        <w:lastRenderedPageBreak/>
        <w:t>prevent the passage of legislation providing penalties for the possession of firearms by a convicted felon, nor prevent the passage of any legislation punishing the use of a firearm. No law shall impose licensure, registration or special taxation on the ownership or possession of firearms or ammunition. Nor shall any law permit the confiscation of firearms, except those actually used in the commission of a felony.</w:t>
      </w:r>
      <w:r w:rsidRPr="00C24766">
        <w:rPr>
          <w:rFonts w:eastAsia="Times New Roman"/>
          <w:color w:val="000000"/>
          <w:sz w:val="22"/>
          <w:vertAlign w:val="superscript"/>
        </w:rPr>
        <w:endnoteReference w:id="87"/>
      </w:r>
      <w:r w:rsidRPr="00C24766">
        <w:rPr>
          <w:rFonts w:eastAsia="Times New Roman"/>
          <w:color w:val="000000"/>
          <w:sz w:val="22"/>
          <w:vertAlign w:val="superscript"/>
        </w:rPr>
        <w:t>[87]</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   </w:t>
      </w:r>
      <w:r w:rsidRPr="00C24766">
        <w:rPr>
          <w:rFonts w:eastAsia="Times New Roman"/>
          <w:color w:val="000000"/>
          <w:sz w:val="22"/>
          <w:szCs w:val="20"/>
        </w:rPr>
        <w:tab/>
        <w:t>Once more, language which tracks the Second Amendment is used to protect an individual right.</w:t>
      </w:r>
      <w:r w:rsidRPr="00C24766">
        <w:rPr>
          <w:rFonts w:eastAsia="Times New Roman"/>
          <w:color w:val="000000"/>
          <w:sz w:val="22"/>
          <w:vertAlign w:val="superscript"/>
        </w:rPr>
        <w:t xml:space="preserve"> </w:t>
      </w:r>
      <w:r w:rsidRPr="00C24766">
        <w:rPr>
          <w:rFonts w:eastAsia="Times New Roman"/>
          <w:color w:val="000000"/>
          <w:sz w:val="22"/>
          <w:vertAlign w:val="superscript"/>
        </w:rPr>
        <w:endnoteReference w:id="88"/>
      </w:r>
      <w:r w:rsidRPr="00C24766">
        <w:rPr>
          <w:rFonts w:eastAsia="Times New Roman"/>
          <w:color w:val="000000"/>
          <w:sz w:val="22"/>
          <w:vertAlign w:val="superscript"/>
        </w:rPr>
        <w:t>[88]</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Illinois</w:t>
          </w:r>
        </w:smartTag>
      </w:smartTag>
      <w:r w:rsidRPr="00C24766">
        <w:rPr>
          <w:rFonts w:eastAsia="Times New Roman"/>
          <w:b/>
          <w:color w:val="000000"/>
          <w:sz w:val="22"/>
          <w:szCs w:val="20"/>
        </w:rPr>
        <w:t>:</w:t>
      </w:r>
      <w:r w:rsidRPr="00C24766">
        <w:rPr>
          <w:rFonts w:eastAsia="Times New Roman"/>
          <w:color w:val="000000"/>
          <w:sz w:val="22"/>
          <w:szCs w:val="20"/>
        </w:rPr>
        <w:t xml:space="preserve"> “Subject only to the police power, the right of the individual citizen to keep and bear arms shall not be infringed.”</w:t>
      </w:r>
      <w:r w:rsidRPr="00C24766">
        <w:rPr>
          <w:rFonts w:eastAsia="Times New Roman"/>
          <w:color w:val="000000"/>
          <w:sz w:val="22"/>
          <w:vertAlign w:val="superscript"/>
        </w:rPr>
        <w:endnoteReference w:id="89"/>
      </w:r>
      <w:r w:rsidRPr="00C24766">
        <w:rPr>
          <w:rFonts w:eastAsia="Times New Roman"/>
          <w:color w:val="000000"/>
          <w:sz w:val="22"/>
          <w:vertAlign w:val="superscript"/>
        </w:rPr>
        <w:t>[89]</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This is another modern usage of language from the Second Amendment to protect the rights of individual citizens, and another usage of “bear arms” outside an exclusively military context.</w:t>
      </w:r>
      <w:r w:rsidRPr="00C24766">
        <w:rPr>
          <w:rFonts w:eastAsia="Times New Roman"/>
          <w:color w:val="000000"/>
          <w:sz w:val="22"/>
          <w:vertAlign w:val="superscript"/>
        </w:rPr>
        <w:endnoteReference w:id="90"/>
      </w:r>
      <w:r w:rsidRPr="00C24766">
        <w:rPr>
          <w:rFonts w:eastAsia="Times New Roman"/>
          <w:color w:val="000000"/>
          <w:sz w:val="22"/>
          <w:vertAlign w:val="superscript"/>
        </w:rPr>
        <w:t>[90]</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Indiana</w:t>
          </w:r>
        </w:smartTag>
      </w:smartTag>
      <w:r w:rsidRPr="00C24766">
        <w:rPr>
          <w:rFonts w:eastAsia="Times New Roman"/>
          <w:b/>
          <w:color w:val="000000"/>
          <w:sz w:val="22"/>
          <w:szCs w:val="20"/>
        </w:rPr>
        <w:t>:</w:t>
      </w:r>
      <w:r w:rsidRPr="00C24766">
        <w:rPr>
          <w:rFonts w:eastAsia="Times New Roman"/>
          <w:color w:val="000000"/>
          <w:sz w:val="22"/>
          <w:szCs w:val="20"/>
        </w:rPr>
        <w:t xml:space="preserve"> “The people shall have a right to bear arms, for the defense of themselves and the State.”</w:t>
      </w:r>
      <w:r w:rsidRPr="00C24766">
        <w:rPr>
          <w:rFonts w:eastAsia="Times New Roman"/>
          <w:color w:val="000000"/>
          <w:sz w:val="22"/>
          <w:vertAlign w:val="superscript"/>
        </w:rPr>
        <w:endnoteReference w:id="91"/>
      </w:r>
      <w:r w:rsidRPr="00C24766">
        <w:rPr>
          <w:rFonts w:eastAsia="Times New Roman"/>
          <w:color w:val="000000"/>
          <w:sz w:val="22"/>
          <w:vertAlign w:val="superscript"/>
        </w:rPr>
        <w:t>[91]</w:t>
      </w:r>
      <w:r w:rsidRPr="00C24766">
        <w:rPr>
          <w:rFonts w:eastAsia="Times New Roman"/>
          <w:color w:val="000000"/>
          <w:sz w:val="22"/>
          <w:szCs w:val="20"/>
        </w:rPr>
        <w:t xml:space="preserve"> The earlier version dated from 1816: “That the people have a right to bear arms for the defense of themselves and the State, and that the military shall be kept in strict subordination to the civil power.”</w:t>
      </w:r>
      <w:r w:rsidRPr="00C24766">
        <w:rPr>
          <w:rFonts w:eastAsia="Times New Roman"/>
          <w:color w:val="000000"/>
          <w:sz w:val="22"/>
          <w:vertAlign w:val="superscript"/>
        </w:rPr>
        <w:endnoteReference w:id="92"/>
      </w:r>
      <w:r w:rsidRPr="00C24766">
        <w:rPr>
          <w:rFonts w:eastAsia="Times New Roman"/>
          <w:color w:val="000000"/>
          <w:sz w:val="22"/>
          <w:vertAlign w:val="superscript"/>
        </w:rPr>
        <w:t>[92]</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As the 1816 Indiana Constitution shows, one major rationale for the right to arms in the early republic was concern about the dangers of standing armies.</w:t>
      </w:r>
      <w:r w:rsidRPr="00C24766">
        <w:rPr>
          <w:rFonts w:eastAsia="Times New Roman"/>
          <w:color w:val="000000"/>
          <w:sz w:val="22"/>
          <w:vertAlign w:val="superscript"/>
        </w:rPr>
        <w:endnoteReference w:id="93"/>
      </w:r>
      <w:r w:rsidRPr="00C24766">
        <w:rPr>
          <w:rFonts w:eastAsia="Times New Roman"/>
          <w:color w:val="000000"/>
          <w:sz w:val="22"/>
          <w:vertAlign w:val="superscript"/>
        </w:rPr>
        <w:t>[93]</w:t>
      </w:r>
      <w:r w:rsidRPr="00C24766">
        <w:rPr>
          <w:rFonts w:eastAsia="Times New Roman"/>
          <w:color w:val="000000"/>
          <w:sz w:val="22"/>
          <w:szCs w:val="20"/>
        </w:rPr>
        <w:t xml:space="preserve"> </w:t>
      </w:r>
      <w:proofErr w:type="gramStart"/>
      <w:r w:rsidRPr="00C24766">
        <w:rPr>
          <w:rFonts w:eastAsia="Times New Roman"/>
          <w:color w:val="000000"/>
          <w:sz w:val="22"/>
          <w:szCs w:val="20"/>
        </w:rPr>
        <w:t>That</w:t>
      </w:r>
      <w:proofErr w:type="gramEnd"/>
      <w:r w:rsidRPr="00C24766">
        <w:rPr>
          <w:rFonts w:eastAsia="Times New Roman"/>
          <w:color w:val="000000"/>
          <w:sz w:val="22"/>
          <w:szCs w:val="20"/>
        </w:rPr>
        <w:t xml:space="preserve"> is why the people of </w:t>
      </w:r>
      <w:smartTag w:uri="urn:schemas-microsoft-com:office:smarttags" w:element="State">
        <w:smartTag w:uri="urn:schemas-microsoft-com:office:smarttags" w:element="place">
          <w:r w:rsidRPr="00C24766">
            <w:rPr>
              <w:rFonts w:eastAsia="Times New Roman"/>
              <w:color w:val="000000"/>
              <w:sz w:val="22"/>
              <w:szCs w:val="20"/>
            </w:rPr>
            <w:t>Indiana</w:t>
          </w:r>
        </w:smartTag>
      </w:smartTag>
      <w:r w:rsidRPr="00C24766">
        <w:rPr>
          <w:rFonts w:eastAsia="Times New Roman"/>
          <w:color w:val="000000"/>
          <w:sz w:val="22"/>
          <w:szCs w:val="20"/>
        </w:rPr>
        <w:t xml:space="preserve"> put the right to arms provision in the same section as a restriction on standing armies. But it would be erroneous to conclude that the right to arms only includes people who are in a militia which might fight a standing army. Even with the anti-standing army language, Indiana's Constitution, which tracks the Second Amendment, was always construed to protect a right of all citizens of Indiana, not just militiamen, to own and carry firearms -- subject, of course, to reasonable restrictions.</w:t>
      </w:r>
      <w:r w:rsidRPr="00C24766">
        <w:rPr>
          <w:rFonts w:eastAsia="Times New Roman"/>
          <w:color w:val="000000"/>
          <w:sz w:val="22"/>
          <w:vertAlign w:val="superscript"/>
        </w:rPr>
        <w:endnoteReference w:id="94"/>
      </w:r>
      <w:r w:rsidRPr="00C24766">
        <w:rPr>
          <w:rFonts w:eastAsia="Times New Roman"/>
          <w:color w:val="000000"/>
          <w:sz w:val="22"/>
          <w:vertAlign w:val="superscript"/>
        </w:rPr>
        <w:t>[94]</w:t>
      </w:r>
      <w:r w:rsidRPr="00C24766">
        <w:rPr>
          <w:rFonts w:eastAsia="Times New Roman"/>
          <w:color w:val="000000"/>
          <w:sz w:val="22"/>
          <w:szCs w:val="20"/>
        </w:rPr>
        <w:t xml:space="preserve"> The same is true of the constitutions of,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Vermont</w:t>
          </w:r>
        </w:smartTag>
      </w:smartTag>
      <w:r w:rsidRPr="00C24766">
        <w:rPr>
          <w:rFonts w:eastAsia="Times New Roman"/>
          <w:color w:val="000000"/>
          <w:sz w:val="22"/>
          <w:szCs w:val="20"/>
        </w:rPr>
        <w:t>, all of which use a single constitutional section to denounce standing armies and to protect a right of every citizen to possess arms.</w:t>
      </w:r>
      <w:r w:rsidRPr="00C24766">
        <w:rPr>
          <w:rFonts w:eastAsia="Times New Roman"/>
          <w:color w:val="000000"/>
          <w:sz w:val="22"/>
          <w:vertAlign w:val="superscript"/>
        </w:rPr>
        <w:endnoteReference w:id="95"/>
      </w:r>
      <w:r w:rsidRPr="00C24766">
        <w:rPr>
          <w:rFonts w:eastAsia="Times New Roman"/>
          <w:color w:val="000000"/>
          <w:sz w:val="22"/>
          <w:vertAlign w:val="superscript"/>
        </w:rPr>
        <w:t>[95]</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Louisiana</w:t>
          </w:r>
        </w:smartTag>
      </w:smartTag>
      <w:r w:rsidRPr="00C24766">
        <w:rPr>
          <w:rFonts w:eastAsia="Times New Roman"/>
          <w:b/>
          <w:color w:val="000000"/>
          <w:sz w:val="22"/>
          <w:szCs w:val="20"/>
        </w:rPr>
        <w:t>:</w:t>
      </w:r>
      <w:r w:rsidRPr="00C24766">
        <w:rPr>
          <w:rFonts w:eastAsia="Times New Roman"/>
          <w:color w:val="000000"/>
          <w:sz w:val="22"/>
          <w:szCs w:val="20"/>
        </w:rPr>
        <w:t xml:space="preserve"> “The right of each citizen to keep and bear arms shall not be abridged, but this provision shall not prevent the passage of laws to prohibit the carrying of weapons concealed on the person.”</w:t>
      </w:r>
      <w:r w:rsidRPr="00C24766">
        <w:rPr>
          <w:rFonts w:eastAsia="Times New Roman"/>
          <w:color w:val="000000"/>
          <w:sz w:val="22"/>
          <w:vertAlign w:val="superscript"/>
        </w:rPr>
        <w:endnoteReference w:id="96"/>
      </w:r>
      <w:r w:rsidRPr="00C24766">
        <w:rPr>
          <w:rFonts w:eastAsia="Times New Roman"/>
          <w:color w:val="000000"/>
          <w:sz w:val="22"/>
          <w:vertAlign w:val="superscript"/>
        </w:rPr>
        <w:t>[96]</w:t>
      </w:r>
    </w:p>
    <w:p w:rsidR="00C24766" w:rsidRPr="00C24766" w:rsidRDefault="00C24766" w:rsidP="00C24766">
      <w:pPr>
        <w:jc w:val="both"/>
        <w:rPr>
          <w:rFonts w:eastAsia="Times New Roman"/>
          <w:color w:val="000000"/>
        </w:rPr>
      </w:pPr>
      <w:r w:rsidRPr="00C24766">
        <w:rPr>
          <w:rFonts w:eastAsia="Times New Roman"/>
          <w:color w:val="000000"/>
          <w:sz w:val="22"/>
          <w:szCs w:val="20"/>
        </w:rPr>
        <w:t xml:space="preserve">   </w:t>
      </w:r>
      <w:r w:rsidRPr="00C24766">
        <w:rPr>
          <w:rFonts w:eastAsia="Times New Roman"/>
          <w:color w:val="000000"/>
          <w:sz w:val="22"/>
          <w:szCs w:val="20"/>
        </w:rPr>
        <w:tab/>
      </w:r>
      <w:smartTag w:uri="urn:schemas-microsoft-com:office:smarttags" w:element="State">
        <w:smartTag w:uri="urn:schemas-microsoft-com:office:smarttags" w:element="place">
          <w:r w:rsidRPr="00C24766">
            <w:rPr>
              <w:rFonts w:eastAsia="Times New Roman"/>
              <w:color w:val="000000"/>
              <w:sz w:val="22"/>
              <w:szCs w:val="20"/>
            </w:rPr>
            <w:t>Louisiana</w:t>
          </w:r>
        </w:smartTag>
      </w:smartTag>
      <w:r w:rsidRPr="00C24766">
        <w:rPr>
          <w:rFonts w:eastAsia="Times New Roman"/>
          <w:color w:val="000000"/>
          <w:sz w:val="22"/>
          <w:szCs w:val="20"/>
        </w:rPr>
        <w:t xml:space="preserve"> is one of many states to use language almost identical to the Second Amendment, while including an explicit provision to allow regulation of the carrying of concealed weapons.</w:t>
      </w:r>
      <w:r w:rsidRPr="00C24766">
        <w:rPr>
          <w:rFonts w:eastAsia="Times New Roman"/>
          <w:color w:val="000000"/>
          <w:sz w:val="22"/>
          <w:vertAlign w:val="superscript"/>
        </w:rPr>
        <w:endnoteReference w:id="97"/>
      </w:r>
      <w:r w:rsidRPr="00C24766">
        <w:rPr>
          <w:rFonts w:eastAsia="Times New Roman"/>
          <w:color w:val="000000"/>
          <w:sz w:val="22"/>
          <w:vertAlign w:val="superscript"/>
        </w:rPr>
        <w:t>[97]</w:t>
      </w:r>
      <w:r w:rsidRPr="00C24766">
        <w:rPr>
          <w:rFonts w:eastAsia="Times New Roman"/>
          <w:color w:val="000000"/>
          <w:sz w:val="22"/>
          <w:szCs w:val="20"/>
        </w:rPr>
        <w:t xml:space="preserve"> These arms-carrying restrictions show that Second Amendment language was understood to include ordinary citizens walking around with firearms for personal protection or hunting.</w:t>
      </w:r>
      <w:r w:rsidRPr="00C24766">
        <w:rPr>
          <w:rFonts w:eastAsia="Times New Roman"/>
          <w:color w:val="000000"/>
          <w:sz w:val="22"/>
          <w:vertAlign w:val="superscript"/>
        </w:rPr>
        <w:endnoteReference w:id="98"/>
      </w:r>
      <w:r w:rsidRPr="00C24766">
        <w:rPr>
          <w:rFonts w:eastAsia="Times New Roman"/>
          <w:color w:val="000000"/>
          <w:sz w:val="22"/>
          <w:vertAlign w:val="superscript"/>
        </w:rPr>
        <w:t>[98]</w:t>
      </w:r>
      <w:r w:rsidRPr="00C24766">
        <w:rPr>
          <w:rFonts w:eastAsia="Times New Roman"/>
          <w:color w:val="000000"/>
          <w:sz w:val="22"/>
          <w:szCs w:val="20"/>
        </w:rPr>
        <w:t xml:space="preserve"> </w:t>
      </w:r>
      <w:proofErr w:type="gramStart"/>
      <w:r w:rsidRPr="00C24766">
        <w:rPr>
          <w:rFonts w:eastAsia="Times New Roman"/>
          <w:color w:val="000000"/>
          <w:sz w:val="22"/>
          <w:szCs w:val="20"/>
        </w:rPr>
        <w:t>That</w:t>
      </w:r>
      <w:proofErr w:type="gramEnd"/>
      <w:r w:rsidRPr="00C24766">
        <w:rPr>
          <w:rFonts w:eastAsia="Times New Roman"/>
          <w:color w:val="000000"/>
          <w:sz w:val="22"/>
          <w:szCs w:val="20"/>
        </w:rPr>
        <w:t xml:space="preserve"> is why the legislature was given authority to control the carrying of weapons -- to control ordinary people carrying guns.</w:t>
      </w:r>
      <w:r w:rsidRPr="00C24766">
        <w:rPr>
          <w:rFonts w:eastAsia="Times New Roman"/>
          <w:color w:val="000000"/>
          <w:sz w:val="22"/>
          <w:vertAlign w:val="superscript"/>
        </w:rPr>
        <w:endnoteReference w:id="99"/>
      </w:r>
      <w:r w:rsidRPr="00C24766">
        <w:rPr>
          <w:rFonts w:eastAsia="Times New Roman"/>
          <w:color w:val="000000"/>
          <w:sz w:val="22"/>
          <w:vertAlign w:val="superscript"/>
        </w:rPr>
        <w:t>[99]</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Maine</w:t>
          </w:r>
        </w:smartTag>
      </w:smartTag>
      <w:r w:rsidRPr="00C24766">
        <w:rPr>
          <w:rFonts w:eastAsia="Times New Roman"/>
          <w:b/>
          <w:color w:val="000000"/>
          <w:sz w:val="22"/>
          <w:szCs w:val="20"/>
        </w:rPr>
        <w:t>:</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Maine</w:t>
          </w:r>
        </w:smartTag>
      </w:smartTag>
      <w:r w:rsidRPr="00C24766">
        <w:rPr>
          <w:rFonts w:eastAsia="Times New Roman"/>
          <w:color w:val="000000"/>
          <w:sz w:val="22"/>
          <w:szCs w:val="20"/>
        </w:rPr>
        <w:t xml:space="preserve">’s 1819 Constitution stated: “Every citizen has a right to keep and bear arms for the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and this right shall never be questioned.”</w:t>
      </w:r>
      <w:r w:rsidRPr="00C24766">
        <w:rPr>
          <w:rFonts w:eastAsia="Times New Roman"/>
          <w:color w:val="000000"/>
          <w:sz w:val="22"/>
          <w:vertAlign w:val="superscript"/>
        </w:rPr>
        <w:endnoteReference w:id="100"/>
      </w:r>
      <w:r w:rsidRPr="00C24766">
        <w:rPr>
          <w:rFonts w:eastAsia="Times New Roman"/>
          <w:color w:val="000000"/>
          <w:sz w:val="22"/>
          <w:vertAlign w:val="superscript"/>
        </w:rPr>
        <w:t>[100]</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In </w:t>
      </w:r>
      <w:r w:rsidRPr="00C24766">
        <w:rPr>
          <w:rFonts w:eastAsia="Times New Roman"/>
          <w:i/>
          <w:color w:val="000000"/>
          <w:sz w:val="22"/>
          <w:szCs w:val="20"/>
        </w:rPr>
        <w:t xml:space="preserve">State v. </w:t>
      </w:r>
      <w:proofErr w:type="spellStart"/>
      <w:r w:rsidRPr="00C24766">
        <w:rPr>
          <w:rFonts w:eastAsia="Times New Roman"/>
          <w:i/>
          <w:color w:val="000000"/>
          <w:sz w:val="22"/>
          <w:szCs w:val="20"/>
        </w:rPr>
        <w:t>Friel</w:t>
      </w:r>
      <w:proofErr w:type="spellEnd"/>
      <w:r w:rsidRPr="00C24766">
        <w:rPr>
          <w:rFonts w:eastAsia="Times New Roman"/>
          <w:color w:val="000000"/>
          <w:sz w:val="22"/>
          <w:szCs w:val="20"/>
        </w:rPr>
        <w:t xml:space="preserve">, decided in 1986, the Maine Supreme Court read the 1819 language as guaranteeing only a </w:t>
      </w:r>
      <w:r w:rsidRPr="00C24766">
        <w:rPr>
          <w:rFonts w:eastAsia="Times New Roman"/>
          <w:color w:val="000000"/>
          <w:sz w:val="22"/>
          <w:szCs w:val="22"/>
        </w:rPr>
        <w:t>"</w:t>
      </w:r>
      <w:r w:rsidRPr="00C24766">
        <w:rPr>
          <w:rFonts w:eastAsia="Times New Roman"/>
          <w:color w:val="000000"/>
          <w:sz w:val="22"/>
          <w:szCs w:val="20"/>
        </w:rPr>
        <w:t>collective" right.</w:t>
      </w:r>
      <w:r w:rsidRPr="00C24766">
        <w:rPr>
          <w:rFonts w:eastAsia="Times New Roman"/>
          <w:color w:val="000000"/>
          <w:sz w:val="22"/>
          <w:vertAlign w:val="superscript"/>
        </w:rPr>
        <w:endnoteReference w:id="101"/>
      </w:r>
      <w:r w:rsidRPr="00C24766">
        <w:rPr>
          <w:rFonts w:eastAsia="Times New Roman"/>
          <w:color w:val="000000"/>
          <w:sz w:val="22"/>
          <w:vertAlign w:val="superscript"/>
        </w:rPr>
        <w:t>[101]</w:t>
      </w:r>
      <w:r w:rsidRPr="00C24766">
        <w:rPr>
          <w:rFonts w:eastAsia="Times New Roman"/>
          <w:color w:val="000000"/>
          <w:sz w:val="22"/>
          <w:szCs w:val="20"/>
        </w:rPr>
        <w:t xml:space="preserve"> Like </w:t>
      </w:r>
      <w:r w:rsidRPr="00C24766">
        <w:rPr>
          <w:rFonts w:eastAsia="Times New Roman"/>
          <w:color w:val="000000"/>
          <w:sz w:val="22"/>
          <w:szCs w:val="22"/>
        </w:rPr>
        <w:t>"</w:t>
      </w:r>
      <w:r w:rsidRPr="00C24766">
        <w:rPr>
          <w:rFonts w:eastAsia="Times New Roman"/>
          <w:color w:val="000000"/>
          <w:sz w:val="22"/>
          <w:szCs w:val="20"/>
        </w:rPr>
        <w:t xml:space="preserve">collective property" in a Communist country, the “collective” right to arms favored by the </w:t>
      </w:r>
      <w:proofErr w:type="spellStart"/>
      <w:r w:rsidRPr="00C24766">
        <w:rPr>
          <w:rFonts w:eastAsia="Times New Roman"/>
          <w:i/>
          <w:color w:val="000000"/>
          <w:sz w:val="22"/>
          <w:szCs w:val="20"/>
        </w:rPr>
        <w:t>Friel</w:t>
      </w:r>
      <w:proofErr w:type="spellEnd"/>
      <w:r w:rsidRPr="00C24766">
        <w:rPr>
          <w:rFonts w:eastAsia="Times New Roman"/>
          <w:color w:val="000000"/>
          <w:sz w:val="22"/>
          <w:szCs w:val="20"/>
        </w:rPr>
        <w:t xml:space="preserve"> court really belonged exclusively to the government. Thus, this “collective” right was antithetical to the ordinary American understanding of rights as belonging to individuals, not governments. The people of </w:t>
      </w:r>
      <w:smartTag w:uri="urn:schemas-microsoft-com:office:smarttags" w:element="State">
        <w:smartTag w:uri="urn:schemas-microsoft-com:office:smarttags" w:element="place">
          <w:r w:rsidRPr="00C24766">
            <w:rPr>
              <w:rFonts w:eastAsia="Times New Roman"/>
              <w:color w:val="000000"/>
              <w:sz w:val="22"/>
              <w:szCs w:val="20"/>
            </w:rPr>
            <w:t>Maine</w:t>
          </w:r>
        </w:smartTag>
      </w:smartTag>
      <w:r w:rsidRPr="00C24766">
        <w:rPr>
          <w:rFonts w:eastAsia="Times New Roman"/>
          <w:color w:val="000000"/>
          <w:sz w:val="22"/>
          <w:szCs w:val="20"/>
        </w:rPr>
        <w:t xml:space="preserve"> quickly demonstrated that the </w:t>
      </w:r>
      <w:proofErr w:type="spellStart"/>
      <w:r w:rsidRPr="00C24766">
        <w:rPr>
          <w:rFonts w:eastAsia="Times New Roman"/>
          <w:i/>
          <w:color w:val="000000"/>
          <w:sz w:val="22"/>
          <w:szCs w:val="20"/>
        </w:rPr>
        <w:t>Friel</w:t>
      </w:r>
      <w:proofErr w:type="spellEnd"/>
      <w:r w:rsidRPr="00C24766">
        <w:rPr>
          <w:rFonts w:eastAsia="Times New Roman"/>
          <w:color w:val="000000"/>
          <w:sz w:val="22"/>
          <w:szCs w:val="20"/>
        </w:rPr>
        <w:t xml:space="preserve"> court was grossly out of step with contemporary norms.  In 1987 the people overwhelmingly adopted language which reaffirmed that the Maine Constitution guaranteed an individual right to arms: “Every citizen has a right to keep and bear arms and this right shall never be questioned.”</w:t>
      </w:r>
      <w:r w:rsidRPr="00C24766">
        <w:rPr>
          <w:rFonts w:eastAsia="Times New Roman"/>
          <w:color w:val="000000"/>
          <w:sz w:val="22"/>
          <w:vertAlign w:val="superscript"/>
        </w:rPr>
        <w:endnoteReference w:id="102"/>
      </w:r>
      <w:r w:rsidRPr="00C24766">
        <w:rPr>
          <w:rFonts w:eastAsia="Times New Roman"/>
          <w:color w:val="000000"/>
          <w:sz w:val="22"/>
          <w:vertAlign w:val="superscript"/>
        </w:rPr>
        <w:t>[102]</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Michigan</w:t>
          </w:r>
        </w:smartTag>
      </w:smartTag>
      <w:r w:rsidRPr="00C24766">
        <w:rPr>
          <w:rFonts w:eastAsia="Times New Roman"/>
          <w:b/>
          <w:color w:val="000000"/>
          <w:sz w:val="22"/>
          <w:szCs w:val="20"/>
        </w:rPr>
        <w:t>:</w:t>
      </w:r>
      <w:r w:rsidRPr="00C24766">
        <w:rPr>
          <w:rFonts w:eastAsia="Times New Roman"/>
          <w:color w:val="000000"/>
          <w:sz w:val="22"/>
          <w:szCs w:val="20"/>
        </w:rPr>
        <w:t xml:space="preserve"> “Every person has a right to keep and bear arms for the defense of </w:t>
      </w:r>
      <w:proofErr w:type="gramStart"/>
      <w:r w:rsidRPr="00C24766">
        <w:rPr>
          <w:rFonts w:eastAsia="Times New Roman"/>
          <w:color w:val="000000"/>
          <w:sz w:val="22"/>
          <w:szCs w:val="20"/>
        </w:rPr>
        <w:t>himself</w:t>
      </w:r>
      <w:proofErr w:type="gramEnd"/>
      <w:r w:rsidRPr="00C24766">
        <w:rPr>
          <w:rFonts w:eastAsia="Times New Roman"/>
          <w:color w:val="000000"/>
          <w:sz w:val="22"/>
          <w:szCs w:val="20"/>
        </w:rPr>
        <w:t xml:space="preserve"> and the state.”</w:t>
      </w:r>
      <w:r w:rsidRPr="00C24766">
        <w:rPr>
          <w:rFonts w:eastAsia="Times New Roman"/>
          <w:color w:val="000000"/>
          <w:sz w:val="22"/>
          <w:vertAlign w:val="superscript"/>
        </w:rPr>
        <w:endnoteReference w:id="103"/>
      </w:r>
      <w:r w:rsidRPr="00C24766">
        <w:rPr>
          <w:rFonts w:eastAsia="Times New Roman"/>
          <w:color w:val="000000"/>
          <w:sz w:val="22"/>
          <w:vertAlign w:val="superscript"/>
        </w:rPr>
        <w:t>[103]</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If “to keep and bear arms” is a “term of art” used to mean militia service only</w:t>
      </w:r>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104"/>
      </w:r>
      <w:r w:rsidRPr="00C24766">
        <w:rPr>
          <w:rFonts w:eastAsia="Times New Roman"/>
          <w:color w:val="000000"/>
          <w:sz w:val="22"/>
          <w:vertAlign w:val="superscript"/>
        </w:rPr>
        <w:t>[104]</w:t>
      </w:r>
      <w:r w:rsidRPr="00C24766">
        <w:rPr>
          <w:rFonts w:eastAsia="Times New Roman"/>
          <w:color w:val="000000"/>
          <w:sz w:val="22"/>
          <w:szCs w:val="20"/>
        </w:rPr>
        <w:t xml:space="preserve"> that “art” must have been entirely unknown to the people who drafted the state constitutions of the early American republic, for those drafters used “keep and bear arms” again and again to protect the right of individuals to possess and carry firearms for personal defense. </w:t>
      </w:r>
      <w:smartTag w:uri="urn:schemas-microsoft-com:office:smarttags" w:element="State">
        <w:smartTag w:uri="urn:schemas-microsoft-com:office:smarttags" w:element="place">
          <w:r w:rsidRPr="00C24766">
            <w:rPr>
              <w:rFonts w:eastAsia="Times New Roman"/>
              <w:color w:val="000000"/>
              <w:sz w:val="22"/>
              <w:szCs w:val="20"/>
            </w:rPr>
            <w:t>Michigan</w:t>
          </w:r>
        </w:smartTag>
      </w:smartTag>
      <w:r w:rsidRPr="00C24766">
        <w:rPr>
          <w:rFonts w:eastAsia="Times New Roman"/>
          <w:color w:val="000000"/>
          <w:sz w:val="22"/>
          <w:szCs w:val="20"/>
        </w:rPr>
        <w:t xml:space="preserve"> recognizes the state constitution as guaranteeing an individual right.</w:t>
      </w:r>
      <w:r w:rsidRPr="00C24766">
        <w:rPr>
          <w:rFonts w:eastAsia="Times New Roman"/>
          <w:color w:val="000000"/>
          <w:sz w:val="22"/>
          <w:vertAlign w:val="superscript"/>
        </w:rPr>
        <w:endnoteReference w:id="105"/>
      </w:r>
      <w:r w:rsidRPr="00C24766">
        <w:rPr>
          <w:rFonts w:eastAsia="Times New Roman"/>
          <w:color w:val="000000"/>
          <w:sz w:val="22"/>
          <w:vertAlign w:val="superscript"/>
        </w:rPr>
        <w:t>[105]</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Mississippi</w:t>
          </w:r>
        </w:smartTag>
      </w:smartTag>
      <w:r w:rsidRPr="00C24766">
        <w:rPr>
          <w:rFonts w:eastAsia="Times New Roman"/>
          <w:b/>
          <w:color w:val="000000"/>
          <w:sz w:val="22"/>
          <w:szCs w:val="20"/>
        </w:rPr>
        <w:t xml:space="preserve">: </w:t>
      </w:r>
      <w:r w:rsidRPr="00C24766">
        <w:rPr>
          <w:rFonts w:eastAsia="Times New Roman"/>
          <w:color w:val="000000"/>
          <w:sz w:val="22"/>
          <w:szCs w:val="20"/>
        </w:rPr>
        <w:t>“The right of every citizen to keep and bear arms in defense of his home, person, or property, or in aid of the civil power when thereto legally summoned, shall not be called in question, but the legislature may regulate or forbid carrying concealed weapons.”</w:t>
      </w:r>
      <w:r w:rsidRPr="00C24766">
        <w:rPr>
          <w:rFonts w:eastAsia="Times New Roman"/>
          <w:color w:val="000000"/>
          <w:sz w:val="22"/>
          <w:vertAlign w:val="superscript"/>
        </w:rPr>
        <w:endnoteReference w:id="106"/>
      </w:r>
      <w:r w:rsidRPr="00C24766">
        <w:rPr>
          <w:rFonts w:eastAsia="Times New Roman"/>
          <w:color w:val="000000"/>
          <w:sz w:val="22"/>
          <w:vertAlign w:val="superscript"/>
        </w:rPr>
        <w:t>[106]</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The concealed weapon restriction underscores that “the right to keep and bear arms” includes the right to carry non-concealed firearms for personal protection.</w:t>
      </w:r>
    </w:p>
    <w:p w:rsidR="00C24766" w:rsidRPr="00C24766" w:rsidRDefault="00C24766" w:rsidP="00C24766">
      <w:pPr>
        <w:jc w:val="both"/>
        <w:rPr>
          <w:rFonts w:eastAsia="Times New Roman"/>
          <w:color w:val="000000"/>
        </w:rPr>
      </w:pPr>
      <w:smartTag w:uri="urn:schemas-microsoft-com:office:smarttags" w:element="State">
        <w:smartTag w:uri="urn:schemas-microsoft-com:office:smarttags" w:element="place">
          <w:r w:rsidRPr="00C24766">
            <w:rPr>
              <w:rFonts w:eastAsia="Times New Roman"/>
              <w:b/>
              <w:color w:val="000000"/>
              <w:sz w:val="22"/>
              <w:szCs w:val="20"/>
            </w:rPr>
            <w:t>Missouri</w:t>
          </w:r>
        </w:smartTag>
      </w:smartTag>
      <w:r w:rsidRPr="00C24766">
        <w:rPr>
          <w:rFonts w:eastAsia="Times New Roman"/>
          <w:color w:val="000000"/>
          <w:sz w:val="22"/>
          <w:szCs w:val="20"/>
        </w:rPr>
        <w:t>: “That the right of every citizen to keep and bear arms in defense of his home, person and property, or when lawfully summoned in aid of the civil power, shall not be questioned; but this shall not justify the wearing of concealed weapons.”</w:t>
      </w:r>
      <w:r w:rsidRPr="00C24766">
        <w:rPr>
          <w:rFonts w:eastAsia="Times New Roman"/>
          <w:color w:val="000000"/>
          <w:sz w:val="22"/>
          <w:vertAlign w:val="superscript"/>
        </w:rPr>
        <w:endnoteReference w:id="107"/>
      </w:r>
      <w:r w:rsidRPr="00C24766">
        <w:rPr>
          <w:rFonts w:eastAsia="Times New Roman"/>
          <w:color w:val="000000"/>
          <w:sz w:val="22"/>
          <w:vertAlign w:val="superscript"/>
        </w:rPr>
        <w:t>[107]</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   </w:t>
      </w:r>
      <w:r w:rsidRPr="00C24766">
        <w:rPr>
          <w:rFonts w:eastAsia="Times New Roman"/>
          <w:color w:val="000000"/>
          <w:sz w:val="22"/>
          <w:szCs w:val="20"/>
        </w:rPr>
        <w:tab/>
        <w:t xml:space="preserve">The 1820 provision stated: “That the people have the right peaceably to assemble for their common </w:t>
      </w:r>
      <w:proofErr w:type="gramStart"/>
      <w:r w:rsidRPr="00C24766">
        <w:rPr>
          <w:rFonts w:eastAsia="Times New Roman"/>
          <w:color w:val="000000"/>
          <w:sz w:val="22"/>
          <w:szCs w:val="20"/>
        </w:rPr>
        <w:t>good,</w:t>
      </w:r>
      <w:proofErr w:type="gramEnd"/>
      <w:r w:rsidRPr="00C24766">
        <w:rPr>
          <w:rFonts w:eastAsia="Times New Roman"/>
          <w:color w:val="000000"/>
          <w:sz w:val="22"/>
          <w:szCs w:val="20"/>
        </w:rPr>
        <w:t xml:space="preserve"> and to apply to those vested with the powers of government for redress of grievances by petition or remonstrance; and that their right to bear arms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of the State cannot be </w:t>
      </w:r>
      <w:r w:rsidRPr="00C24766">
        <w:rPr>
          <w:rFonts w:eastAsia="Times New Roman"/>
          <w:color w:val="000000"/>
          <w:sz w:val="22"/>
          <w:szCs w:val="20"/>
        </w:rPr>
        <w:lastRenderedPageBreak/>
        <w:t>questioned.”</w:t>
      </w:r>
      <w:r w:rsidRPr="00C24766">
        <w:rPr>
          <w:rFonts w:eastAsia="Times New Roman"/>
          <w:color w:val="000000"/>
          <w:sz w:val="22"/>
          <w:vertAlign w:val="superscript"/>
        </w:rPr>
        <w:endnoteReference w:id="108"/>
      </w:r>
      <w:r w:rsidRPr="00C24766">
        <w:rPr>
          <w:rFonts w:eastAsia="Times New Roman"/>
          <w:color w:val="000000"/>
          <w:sz w:val="22"/>
          <w:vertAlign w:val="superscript"/>
        </w:rPr>
        <w:t>[108]</w:t>
      </w:r>
      <w:r w:rsidRPr="00C24766">
        <w:rPr>
          <w:rFonts w:eastAsia="Times New Roman"/>
          <w:color w:val="000000"/>
          <w:sz w:val="22"/>
          <w:szCs w:val="20"/>
        </w:rPr>
        <w:t xml:space="preserve"> </w:t>
      </w:r>
      <w:proofErr w:type="gramStart"/>
      <w:r w:rsidRPr="00C24766">
        <w:rPr>
          <w:rFonts w:eastAsia="Times New Roman"/>
          <w:color w:val="000000"/>
          <w:sz w:val="22"/>
          <w:szCs w:val="20"/>
        </w:rPr>
        <w:t>This</w:t>
      </w:r>
      <w:proofErr w:type="gramEnd"/>
      <w:r w:rsidRPr="00C24766">
        <w:rPr>
          <w:rFonts w:eastAsia="Times New Roman"/>
          <w:color w:val="000000"/>
          <w:sz w:val="22"/>
          <w:szCs w:val="20"/>
        </w:rPr>
        <w:t xml:space="preserve"> language described “the people” as possessing “the right peaceably to assemble for their common good” and “their right to bear arms.”</w:t>
      </w:r>
      <w:r w:rsidRPr="00C24766">
        <w:rPr>
          <w:rFonts w:eastAsia="Times New Roman"/>
          <w:color w:val="000000"/>
          <w:sz w:val="22"/>
          <w:vertAlign w:val="superscript"/>
        </w:rPr>
        <w:endnoteReference w:id="109"/>
      </w:r>
      <w:r w:rsidRPr="00C24766">
        <w:rPr>
          <w:rFonts w:eastAsia="Times New Roman"/>
          <w:color w:val="000000"/>
          <w:sz w:val="22"/>
          <w:vertAlign w:val="superscript"/>
        </w:rPr>
        <w:t>[109]</w:t>
      </w:r>
      <w:r w:rsidRPr="00C24766">
        <w:rPr>
          <w:rFonts w:eastAsia="Times New Roman"/>
          <w:color w:val="000000"/>
          <w:sz w:val="22"/>
          <w:szCs w:val="20"/>
        </w:rPr>
        <w:t xml:space="preserve">  That the right to assemble was specified as being “for their common good” did not, of course, mean that the right did not belong to individuals, or that the right was a “collective” right which belonged only to the government.  Likewise, as has been shown, the provision in many state constitutions mentioning only “the common defense” in the arms guarantee has almost always been interpreted to recognize a right of individuals.</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The 1876 U.S. Supreme Court case </w:t>
      </w:r>
      <w:r w:rsidRPr="00C24766">
        <w:rPr>
          <w:rFonts w:eastAsia="Times New Roman"/>
          <w:i/>
          <w:color w:val="000000"/>
          <w:sz w:val="22"/>
          <w:szCs w:val="20"/>
        </w:rPr>
        <w:t>United States v. Cruikshank</w:t>
      </w:r>
      <w:r w:rsidRPr="00C24766">
        <w:rPr>
          <w:rFonts w:eastAsia="Times New Roman"/>
          <w:color w:val="000000"/>
          <w:sz w:val="22"/>
          <w:szCs w:val="20"/>
        </w:rPr>
        <w:t xml:space="preserve">, also treated the right to assemble and the right to bear arms </w:t>
      </w:r>
      <w:r w:rsidRPr="00C24766">
        <w:rPr>
          <w:rFonts w:eastAsia="Times New Roman"/>
          <w:i/>
          <w:color w:val="000000"/>
          <w:sz w:val="22"/>
          <w:szCs w:val="20"/>
        </w:rPr>
        <w:t xml:space="preserve">in </w:t>
      </w:r>
      <w:proofErr w:type="spellStart"/>
      <w:r w:rsidRPr="00C24766">
        <w:rPr>
          <w:rFonts w:eastAsia="Times New Roman"/>
          <w:i/>
          <w:color w:val="000000"/>
          <w:sz w:val="22"/>
          <w:szCs w:val="20"/>
        </w:rPr>
        <w:t>pari</w:t>
      </w:r>
      <w:proofErr w:type="spellEnd"/>
      <w:r w:rsidRPr="00C24766">
        <w:rPr>
          <w:rFonts w:eastAsia="Times New Roman"/>
          <w:i/>
          <w:color w:val="000000"/>
          <w:sz w:val="22"/>
          <w:szCs w:val="20"/>
        </w:rPr>
        <w:t xml:space="preserve"> </w:t>
      </w:r>
      <w:proofErr w:type="spellStart"/>
      <w:r w:rsidRPr="00C24766">
        <w:rPr>
          <w:rFonts w:eastAsia="Times New Roman"/>
          <w:i/>
          <w:color w:val="000000"/>
          <w:sz w:val="22"/>
          <w:szCs w:val="20"/>
        </w:rPr>
        <w:t>materia</w:t>
      </w:r>
      <w:proofErr w:type="spellEnd"/>
      <w:r w:rsidRPr="00C24766">
        <w:rPr>
          <w:rFonts w:eastAsia="Times New Roman"/>
          <w:i/>
          <w:color w:val="000000"/>
          <w:sz w:val="22"/>
          <w:szCs w:val="20"/>
        </w:rPr>
        <w:t>.</w:t>
      </w:r>
      <w:r w:rsidRPr="00C24766">
        <w:rPr>
          <w:rFonts w:eastAsia="Times New Roman"/>
          <w:color w:val="000000"/>
          <w:sz w:val="22"/>
          <w:vertAlign w:val="superscript"/>
        </w:rPr>
        <w:endnoteReference w:id="110"/>
      </w:r>
      <w:r w:rsidRPr="00C24766">
        <w:rPr>
          <w:rFonts w:eastAsia="Times New Roman"/>
          <w:color w:val="000000"/>
          <w:sz w:val="22"/>
          <w:vertAlign w:val="superscript"/>
        </w:rPr>
        <w:t>[110</w:t>
      </w:r>
      <w:proofErr w:type="gramStart"/>
      <w:r w:rsidRPr="00C24766">
        <w:rPr>
          <w:rFonts w:eastAsia="Times New Roman"/>
          <w:color w:val="000000"/>
          <w:sz w:val="22"/>
          <w:vertAlign w:val="superscript"/>
        </w:rPr>
        <w:t>]</w:t>
      </w:r>
      <w:r w:rsidRPr="00C24766">
        <w:rPr>
          <w:rFonts w:eastAsia="Times New Roman"/>
          <w:i/>
          <w:color w:val="000000"/>
          <w:sz w:val="22"/>
          <w:szCs w:val="20"/>
        </w:rPr>
        <w:t xml:space="preserve"> </w:t>
      </w:r>
      <w:r w:rsidRPr="00C24766">
        <w:rPr>
          <w:rFonts w:eastAsia="Times New Roman"/>
          <w:color w:val="000000"/>
          <w:sz w:val="22"/>
          <w:szCs w:val="20"/>
        </w:rPr>
        <w:t xml:space="preserve"> Both</w:t>
      </w:r>
      <w:proofErr w:type="gramEnd"/>
      <w:r w:rsidRPr="00C24766">
        <w:rPr>
          <w:rFonts w:eastAsia="Times New Roman"/>
          <w:color w:val="000000"/>
          <w:sz w:val="22"/>
          <w:szCs w:val="20"/>
        </w:rPr>
        <w:t xml:space="preserve"> were rights “found wherever civilization exists,” both were recognized but not created by the Constitution, and neither were within the power of Congress under the Fourteenth Amendment to protect against infringement by private persons.</w:t>
      </w:r>
      <w:r w:rsidRPr="00C24766">
        <w:rPr>
          <w:rFonts w:eastAsia="Times New Roman"/>
          <w:color w:val="000000"/>
          <w:sz w:val="22"/>
          <w:vertAlign w:val="superscript"/>
        </w:rPr>
        <w:endnoteReference w:id="111"/>
      </w:r>
      <w:r w:rsidRPr="00C24766">
        <w:rPr>
          <w:rFonts w:eastAsia="Times New Roman"/>
          <w:color w:val="000000"/>
          <w:sz w:val="22"/>
          <w:vertAlign w:val="superscript"/>
        </w:rPr>
        <w:t>[111]</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Montana</w:t>
          </w:r>
        </w:smartTag>
      </w:smartTag>
      <w:r w:rsidRPr="00C24766">
        <w:rPr>
          <w:rFonts w:eastAsia="Times New Roman"/>
          <w:b/>
          <w:color w:val="000000"/>
          <w:sz w:val="22"/>
          <w:szCs w:val="20"/>
        </w:rPr>
        <w:t>:</w:t>
      </w:r>
      <w:r w:rsidRPr="00C24766">
        <w:rPr>
          <w:rFonts w:eastAsia="Times New Roman"/>
          <w:color w:val="000000"/>
          <w:sz w:val="22"/>
          <w:szCs w:val="20"/>
        </w:rPr>
        <w:t xml:space="preserve"> “The right of any person to keep or bear arms in defense of his own home, person, and property, or in aid of the civil power when thereto legally summoned, shall not be called in question, but nothing herein contained shall be held to permit the carrying of concealed weapons.”</w:t>
      </w:r>
      <w:r w:rsidRPr="00C24766">
        <w:rPr>
          <w:rFonts w:eastAsia="Times New Roman"/>
          <w:color w:val="000000"/>
          <w:sz w:val="22"/>
          <w:szCs w:val="20"/>
        </w:rPr>
        <w:footnoteRef/>
      </w:r>
      <w:r w:rsidRPr="00C24766">
        <w:rPr>
          <w:rFonts w:eastAsia="Times New Roman"/>
          <w:color w:val="000000"/>
          <w:sz w:val="22"/>
          <w:vertAlign w:val="superscript"/>
        </w:rPr>
        <w:endnoteReference w:customMarkFollows="1" w:id="112"/>
        <w:t>[112]</w:t>
      </w:r>
      <w:r w:rsidRPr="00C24766">
        <w:rPr>
          <w:rFonts w:eastAsia="Times New Roman"/>
          <w:color w:val="000000"/>
          <w:sz w:val="22"/>
          <w:szCs w:val="20"/>
        </w:rPr>
        <w:t xml:space="preserve"> </w:t>
      </w:r>
      <w:proofErr w:type="gramStart"/>
      <w:r w:rsidRPr="00C24766">
        <w:rPr>
          <w:rFonts w:eastAsia="Times New Roman"/>
          <w:color w:val="000000"/>
          <w:sz w:val="22"/>
          <w:szCs w:val="20"/>
        </w:rPr>
        <w:t>This</w:t>
      </w:r>
      <w:proofErr w:type="gramEnd"/>
      <w:r w:rsidRPr="00C24766">
        <w:rPr>
          <w:rFonts w:eastAsia="Times New Roman"/>
          <w:color w:val="000000"/>
          <w:sz w:val="22"/>
          <w:szCs w:val="20"/>
        </w:rPr>
        <w:t xml:space="preserve"> 1889 language closely tracks the </w:t>
      </w:r>
      <w:smartTag w:uri="urn:schemas-microsoft-com:office:smarttags" w:element="State">
        <w:smartTag w:uri="urn:schemas-microsoft-com:office:smarttags" w:element="place">
          <w:r w:rsidRPr="00C24766">
            <w:rPr>
              <w:rFonts w:eastAsia="Times New Roman"/>
              <w:color w:val="000000"/>
              <w:sz w:val="22"/>
              <w:szCs w:val="20"/>
            </w:rPr>
            <w:t>Colorado</w:t>
          </w:r>
        </w:smartTag>
      </w:smartTag>
      <w:r w:rsidRPr="00C24766">
        <w:rPr>
          <w:rFonts w:eastAsia="Times New Roman"/>
          <w:color w:val="000000"/>
          <w:sz w:val="22"/>
          <w:szCs w:val="20"/>
        </w:rPr>
        <w:t xml:space="preserve"> provision from 1876.</w:t>
      </w:r>
      <w:r w:rsidRPr="00C24766">
        <w:rPr>
          <w:rFonts w:eastAsia="Times New Roman"/>
          <w:color w:val="000000"/>
          <w:sz w:val="22"/>
          <w:vertAlign w:val="superscript"/>
        </w:rPr>
        <w:endnoteReference w:id="113"/>
      </w:r>
      <w:r w:rsidRPr="00C24766">
        <w:rPr>
          <w:rFonts w:eastAsia="Times New Roman"/>
          <w:color w:val="000000"/>
          <w:sz w:val="22"/>
          <w:vertAlign w:val="superscript"/>
        </w:rPr>
        <w:t>[113]</w:t>
      </w:r>
      <w:r w:rsidRPr="00C24766">
        <w:rPr>
          <w:rFonts w:eastAsia="Times New Roman"/>
          <w:color w:val="000000"/>
          <w:sz w:val="22"/>
          <w:szCs w:val="20"/>
        </w:rPr>
        <w:t xml:space="preserve"> </w:t>
      </w:r>
      <w:proofErr w:type="gramStart"/>
      <w:r w:rsidRPr="00C24766">
        <w:rPr>
          <w:rFonts w:eastAsia="Times New Roman"/>
          <w:color w:val="000000"/>
          <w:sz w:val="22"/>
          <w:szCs w:val="20"/>
        </w:rPr>
        <w:t>It</w:t>
      </w:r>
      <w:proofErr w:type="gramEnd"/>
      <w:r w:rsidRPr="00C24766">
        <w:rPr>
          <w:rFonts w:eastAsia="Times New Roman"/>
          <w:color w:val="000000"/>
          <w:sz w:val="22"/>
          <w:szCs w:val="20"/>
        </w:rPr>
        <w:t xml:space="preserve"> supports that point that one may </w:t>
      </w:r>
      <w:r w:rsidRPr="00C24766">
        <w:rPr>
          <w:rFonts w:eastAsia="Times New Roman"/>
          <w:color w:val="000000"/>
          <w:sz w:val="22"/>
          <w:szCs w:val="22"/>
        </w:rPr>
        <w:t>"</w:t>
      </w:r>
      <w:r w:rsidRPr="00C24766">
        <w:rPr>
          <w:rFonts w:eastAsia="Times New Roman"/>
          <w:color w:val="000000"/>
          <w:sz w:val="22"/>
          <w:szCs w:val="20"/>
        </w:rPr>
        <w:t>bear" arms in personal defense.  It also underscores that carrying concealed weapons, which militiamen would not do, but individuals might, was something that might be considered part of the arms guarantee, and for which a specific exception was therefore necessary.</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Nebraska</w:t>
          </w:r>
        </w:smartTag>
      </w:smartTag>
      <w:r w:rsidRPr="00C24766">
        <w:rPr>
          <w:rFonts w:eastAsia="Times New Roman"/>
          <w:b/>
          <w:color w:val="000000"/>
          <w:sz w:val="22"/>
          <w:szCs w:val="20"/>
        </w:rPr>
        <w:t xml:space="preserve"> and </w:t>
      </w:r>
      <w:smartTag w:uri="urn:schemas-microsoft-com:office:smarttags" w:element="State">
        <w:smartTag w:uri="urn:schemas-microsoft-com:office:smarttags" w:element="place">
          <w:r w:rsidRPr="00C24766">
            <w:rPr>
              <w:rFonts w:eastAsia="Times New Roman"/>
              <w:b/>
              <w:color w:val="000000"/>
              <w:sz w:val="22"/>
              <w:szCs w:val="20"/>
            </w:rPr>
            <w:t>North Dakota</w:t>
          </w:r>
        </w:smartTag>
      </w:smartTag>
      <w:r w:rsidRPr="00C24766">
        <w:rPr>
          <w:rFonts w:eastAsia="Times New Roman"/>
          <w:b/>
          <w:color w:val="000000"/>
          <w:sz w:val="22"/>
          <w:szCs w:val="20"/>
        </w:rPr>
        <w:t>:</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Nebraska</w:t>
          </w:r>
        </w:smartTag>
      </w:smartTag>
      <w:r w:rsidRPr="00C24766">
        <w:rPr>
          <w:rFonts w:eastAsia="Times New Roman"/>
          <w:color w:val="000000"/>
          <w:sz w:val="22"/>
          <w:szCs w:val="20"/>
        </w:rPr>
        <w:t>’s right, adopted in 1988 referendum, states:</w:t>
      </w:r>
    </w:p>
    <w:p w:rsidR="00C24766" w:rsidRPr="00C24766" w:rsidRDefault="00C24766" w:rsidP="00C24766">
      <w:pPr>
        <w:ind w:left="720" w:right="720"/>
        <w:jc w:val="both"/>
        <w:rPr>
          <w:rFonts w:eastAsia="Times New Roman"/>
          <w:color w:val="000000"/>
          <w:sz w:val="22"/>
          <w:szCs w:val="20"/>
        </w:rPr>
      </w:pPr>
      <w:r w:rsidRPr="00C24766">
        <w:rPr>
          <w:rFonts w:eastAsia="Times New Roman"/>
          <w:color w:val="000000"/>
          <w:sz w:val="22"/>
          <w:szCs w:val="20"/>
        </w:rPr>
        <w:t>All persons are by nature free and independent, and have certain inherent and inalienable rights; among these are life, liberty, the pursuit of happiness, and the right to keep and bear arms for security or defense of self, family, home, and others, and for lawful common defense, hunting, recreational use, and all other lawful purposes, and such rights shall not be denied or infringed by the state or any subdivision thereof. To secure these rights, and the protection of property, governments are instituted among people, deriving their just powers from the consent of the governed.</w:t>
      </w:r>
      <w:r w:rsidRPr="00C24766">
        <w:rPr>
          <w:rFonts w:eastAsia="Times New Roman"/>
          <w:color w:val="000000"/>
          <w:sz w:val="22"/>
          <w:vertAlign w:val="superscript"/>
        </w:rPr>
        <w:endnoteReference w:id="114"/>
      </w:r>
      <w:r w:rsidRPr="00C24766">
        <w:rPr>
          <w:rFonts w:eastAsia="Times New Roman"/>
          <w:color w:val="000000"/>
          <w:sz w:val="22"/>
          <w:vertAlign w:val="superscript"/>
        </w:rPr>
        <w:t>[114]</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color w:val="000000"/>
              <w:sz w:val="22"/>
              <w:szCs w:val="20"/>
            </w:rPr>
            <w:t>North Dakota</w:t>
          </w:r>
        </w:smartTag>
      </w:smartTag>
      <w:r w:rsidRPr="00C24766">
        <w:rPr>
          <w:rFonts w:eastAsia="Times New Roman"/>
          <w:color w:val="000000"/>
          <w:sz w:val="22"/>
          <w:szCs w:val="20"/>
        </w:rPr>
        <w:t xml:space="preserve"> also added an arms right by a referendum, </w:t>
      </w:r>
    </w:p>
    <w:p w:rsidR="00C24766" w:rsidRPr="00C24766" w:rsidRDefault="00C24766" w:rsidP="00C24766">
      <w:pPr>
        <w:ind w:left="720" w:right="720"/>
        <w:jc w:val="both"/>
        <w:rPr>
          <w:rFonts w:eastAsia="Times New Roman"/>
          <w:color w:val="000000"/>
          <w:sz w:val="22"/>
          <w:szCs w:val="20"/>
        </w:rPr>
      </w:pPr>
      <w:r w:rsidRPr="00C24766">
        <w:rPr>
          <w:rFonts w:eastAsia="Times New Roman"/>
          <w:color w:val="000000"/>
          <w:sz w:val="22"/>
          <w:szCs w:val="20"/>
        </w:rPr>
        <w:t>All individuals are by nature equally free and independent and have certain inalienable rights, among which are those of enjoying and defending life and liberty; acquiring, possessing and protecting property and reputation; pursuing and obtaining safety and happiness; and to keep and bear arms for the defense of their person, family, property, and the state, and for lawful hunting, recreational, and other lawful purposes, which shall not be infringed.</w:t>
      </w:r>
      <w:r w:rsidRPr="00C24766">
        <w:rPr>
          <w:rFonts w:eastAsia="Times New Roman"/>
          <w:color w:val="000000"/>
          <w:sz w:val="22"/>
          <w:vertAlign w:val="superscript"/>
        </w:rPr>
        <w:endnoteReference w:id="115"/>
      </w:r>
      <w:r w:rsidRPr="00C24766">
        <w:rPr>
          <w:rFonts w:eastAsia="Times New Roman"/>
          <w:color w:val="000000"/>
          <w:sz w:val="22"/>
          <w:vertAlign w:val="superscript"/>
        </w:rPr>
        <w:t>[115]</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Like </w:t>
      </w:r>
      <w:smartTag w:uri="urn:schemas-microsoft-com:office:smarttags" w:element="State">
        <w:smartTag w:uri="urn:schemas-microsoft-com:office:smarttags" w:element="place">
          <w:r w:rsidRPr="00C24766">
            <w:rPr>
              <w:rFonts w:eastAsia="Times New Roman"/>
              <w:color w:val="000000"/>
              <w:sz w:val="22"/>
              <w:szCs w:val="20"/>
            </w:rPr>
            <w:t>Kentucky</w:t>
          </w:r>
        </w:smartTag>
      </w:smartTag>
      <w:r w:rsidRPr="00C24766">
        <w:rPr>
          <w:rFonts w:eastAsia="Times New Roman"/>
          <w:color w:val="000000"/>
          <w:sz w:val="22"/>
          <w:szCs w:val="20"/>
        </w:rPr>
        <w:t xml:space="preserve">, the states of </w:t>
      </w:r>
      <w:smartTag w:uri="urn:schemas-microsoft-com:office:smarttags" w:element="State">
        <w:smartTag w:uri="urn:schemas-microsoft-com:office:smarttags" w:element="place">
          <w:r w:rsidRPr="00C24766">
            <w:rPr>
              <w:rFonts w:eastAsia="Times New Roman"/>
              <w:color w:val="000000"/>
              <w:sz w:val="22"/>
              <w:szCs w:val="20"/>
            </w:rPr>
            <w:t>Nebraska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North Dakota</w:t>
          </w:r>
        </w:smartTag>
      </w:smartTag>
      <w:r w:rsidRPr="00C24766">
        <w:rPr>
          <w:rFonts w:eastAsia="Times New Roman"/>
          <w:color w:val="000000"/>
          <w:sz w:val="22"/>
          <w:szCs w:val="20"/>
        </w:rPr>
        <w:t xml:space="preserve"> interpolate the right to arms in a larger section that guarantees numerous individual rights.</w:t>
      </w:r>
      <w:r w:rsidRPr="00C24766">
        <w:rPr>
          <w:rFonts w:eastAsia="Times New Roman"/>
          <w:color w:val="000000"/>
          <w:sz w:val="22"/>
          <w:vertAlign w:val="superscript"/>
        </w:rPr>
        <w:endnoteReference w:id="116"/>
      </w:r>
      <w:r w:rsidRPr="00C24766">
        <w:rPr>
          <w:rFonts w:eastAsia="Times New Roman"/>
          <w:color w:val="000000"/>
          <w:sz w:val="22"/>
          <w:vertAlign w:val="superscript"/>
        </w:rPr>
        <w:t>[116]</w:t>
      </w:r>
      <w:r w:rsidRPr="00C24766">
        <w:rPr>
          <w:rFonts w:eastAsia="Times New Roman"/>
          <w:color w:val="000000"/>
          <w:sz w:val="22"/>
          <w:szCs w:val="20"/>
        </w:rPr>
        <w:t xml:space="preserve"> Similarly, James Madison's original proposal for the right to keep and bear arms was to put that clause in Article I, section 9, of the U.S. Constitution, which guarantees various individual rights, such as habeas corpus. If </w:t>
      </w:r>
      <w:smartTag w:uri="urn:schemas-microsoft-com:office:smarttags" w:element="City">
        <w:smartTag w:uri="urn:schemas-microsoft-com:office:smarttags" w:element="place">
          <w:r w:rsidRPr="00C24766">
            <w:rPr>
              <w:rFonts w:eastAsia="Times New Roman"/>
              <w:color w:val="000000"/>
              <w:sz w:val="22"/>
              <w:szCs w:val="20"/>
            </w:rPr>
            <w:t>Madison</w:t>
          </w:r>
        </w:smartTag>
      </w:smartTag>
      <w:r w:rsidRPr="00C24766">
        <w:rPr>
          <w:rFonts w:eastAsia="Times New Roman"/>
          <w:color w:val="000000"/>
          <w:sz w:val="22"/>
          <w:szCs w:val="20"/>
        </w:rPr>
        <w:t xml:space="preserve"> viewed the Second Amendment as a restriction on federal power over the militia, then he would have put the Second Amendment in Article I, section 8, the portion of the Constitution which grants militia powers to the federal government.</w:t>
      </w:r>
      <w:r w:rsidRPr="00C24766">
        <w:rPr>
          <w:rFonts w:eastAsia="Times New Roman"/>
          <w:color w:val="000000"/>
          <w:sz w:val="22"/>
          <w:vertAlign w:val="superscript"/>
        </w:rPr>
        <w:endnoteReference w:id="117"/>
      </w:r>
      <w:r w:rsidRPr="00C24766">
        <w:rPr>
          <w:rFonts w:eastAsia="Times New Roman"/>
          <w:color w:val="000000"/>
          <w:sz w:val="22"/>
          <w:vertAlign w:val="superscript"/>
        </w:rPr>
        <w:t>[117]</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Nevada</w:t>
          </w:r>
        </w:smartTag>
      </w:smartTag>
      <w:r w:rsidRPr="00C24766">
        <w:rPr>
          <w:rFonts w:eastAsia="Times New Roman"/>
          <w:b/>
          <w:color w:val="000000"/>
          <w:sz w:val="22"/>
          <w:szCs w:val="20"/>
        </w:rPr>
        <w:t xml:space="preserve"> and </w:t>
      </w:r>
      <w:smartTag w:uri="urn:schemas-microsoft-com:office:smarttags" w:element="State">
        <w:smartTag w:uri="urn:schemas-microsoft-com:office:smarttags" w:element="place">
          <w:r w:rsidRPr="00C24766">
            <w:rPr>
              <w:rFonts w:eastAsia="Times New Roman"/>
              <w:b/>
              <w:color w:val="000000"/>
              <w:sz w:val="22"/>
              <w:szCs w:val="20"/>
            </w:rPr>
            <w:t>New Hampshire</w:t>
          </w:r>
        </w:smartTag>
      </w:smartTag>
      <w:r w:rsidRPr="00C24766">
        <w:rPr>
          <w:rFonts w:eastAsia="Times New Roman"/>
          <w:color w:val="000000"/>
          <w:sz w:val="22"/>
          <w:szCs w:val="20"/>
        </w:rPr>
        <w:t>: In 1982, the people of both of these states voted to add an arms right to the state constitution.</w:t>
      </w:r>
      <w:r w:rsidRPr="00C24766">
        <w:rPr>
          <w:rFonts w:eastAsia="Times New Roman"/>
          <w:color w:val="000000"/>
          <w:sz w:val="22"/>
          <w:vertAlign w:val="superscript"/>
        </w:rPr>
        <w:endnoteReference w:id="118"/>
      </w:r>
      <w:r w:rsidRPr="00C24766">
        <w:rPr>
          <w:rFonts w:eastAsia="Times New Roman"/>
          <w:color w:val="000000"/>
          <w:sz w:val="22"/>
          <w:vertAlign w:val="superscript"/>
        </w:rPr>
        <w:t>[118]</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Nevada</w:t>
          </w:r>
        </w:smartTag>
      </w:smartTag>
      <w:r w:rsidRPr="00C24766">
        <w:rPr>
          <w:rFonts w:eastAsia="Times New Roman"/>
          <w:color w:val="000000"/>
          <w:sz w:val="22"/>
          <w:szCs w:val="20"/>
        </w:rPr>
        <w:t>’s provision is “Every citizen has the right to keep and bear arms for security and defense, for lawful hunting and recreational use and for other lawful purposes.”</w:t>
      </w:r>
      <w:r w:rsidRPr="00C24766">
        <w:rPr>
          <w:rFonts w:eastAsia="Times New Roman"/>
          <w:color w:val="000000"/>
          <w:sz w:val="22"/>
          <w:vertAlign w:val="superscript"/>
        </w:rPr>
        <w:endnoteReference w:id="119"/>
      </w:r>
      <w:r w:rsidRPr="00C24766">
        <w:rPr>
          <w:rFonts w:eastAsia="Times New Roman"/>
          <w:color w:val="000000"/>
          <w:sz w:val="22"/>
          <w:vertAlign w:val="superscript"/>
        </w:rPr>
        <w:t>[119]</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New Hampshire</w:t>
          </w:r>
        </w:smartTag>
      </w:smartTag>
      <w:r w:rsidRPr="00C24766">
        <w:rPr>
          <w:rFonts w:eastAsia="Times New Roman"/>
          <w:color w:val="000000"/>
          <w:sz w:val="22"/>
          <w:szCs w:val="20"/>
        </w:rPr>
        <w:t>’s states: “All persons have the right to keep and bear arms in defense of themselves, their families, their property and the state.”</w:t>
      </w:r>
      <w:r w:rsidRPr="00C24766">
        <w:rPr>
          <w:rFonts w:eastAsia="Times New Roman"/>
          <w:color w:val="000000"/>
          <w:sz w:val="22"/>
          <w:vertAlign w:val="superscript"/>
        </w:rPr>
        <w:endnoteReference w:id="120"/>
      </w:r>
      <w:r w:rsidRPr="00C24766">
        <w:rPr>
          <w:rFonts w:eastAsia="Times New Roman"/>
          <w:color w:val="000000"/>
          <w:sz w:val="22"/>
          <w:vertAlign w:val="superscript"/>
        </w:rPr>
        <w:t>[120]</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The vote to include these rights shows the continued importance of the right to arms to Americans. These votes also show modern usage of “the right to keep and bear arms” as encompassing the individual possession and carrying of arms for a variety of purposes, not just militia service.</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New Mexico</w:t>
          </w:r>
        </w:smartTag>
      </w:smartTag>
      <w:r w:rsidRPr="00C24766">
        <w:rPr>
          <w:rFonts w:eastAsia="Times New Roman"/>
          <w:color w:val="000000"/>
          <w:sz w:val="22"/>
          <w:szCs w:val="20"/>
        </w:rPr>
        <w:t>: The 1912 New Mexico Constitution guaranteed: “The people have the right to bear arms for their security and defense, but nothing herein shall be held to permit the carrying of concealed weapons.”</w:t>
      </w:r>
      <w:r w:rsidRPr="00C24766">
        <w:rPr>
          <w:rFonts w:eastAsia="Times New Roman"/>
          <w:color w:val="000000"/>
          <w:sz w:val="22"/>
          <w:vertAlign w:val="superscript"/>
        </w:rPr>
        <w:endnoteReference w:id="121"/>
      </w:r>
      <w:r w:rsidRPr="00C24766">
        <w:rPr>
          <w:rFonts w:eastAsia="Times New Roman"/>
          <w:color w:val="000000"/>
          <w:sz w:val="22"/>
          <w:vertAlign w:val="superscript"/>
        </w:rPr>
        <w:t>[121</w:t>
      </w:r>
      <w:proofErr w:type="gramStart"/>
      <w:r w:rsidRPr="00C24766">
        <w:rPr>
          <w:rFonts w:eastAsia="Times New Roman"/>
          <w:color w:val="000000"/>
          <w:sz w:val="22"/>
          <w:vertAlign w:val="superscript"/>
        </w:rPr>
        <w:t>]</w:t>
      </w:r>
      <w:r w:rsidRPr="00C24766">
        <w:rPr>
          <w:rFonts w:eastAsia="Times New Roman"/>
          <w:color w:val="000000"/>
          <w:sz w:val="22"/>
          <w:szCs w:val="20"/>
        </w:rPr>
        <w:t xml:space="preserve">  In</w:t>
      </w:r>
      <w:proofErr w:type="gramEnd"/>
      <w:r w:rsidRPr="00C24766">
        <w:rPr>
          <w:rFonts w:eastAsia="Times New Roman"/>
          <w:color w:val="000000"/>
          <w:sz w:val="22"/>
          <w:szCs w:val="20"/>
        </w:rPr>
        <w:t xml:space="preserve"> 1971, the people voted to rephrase the guarantee, to make explicit that the protection encompassed recreational as well as defensive purposes.</w:t>
      </w:r>
      <w:r w:rsidRPr="00C24766">
        <w:rPr>
          <w:rFonts w:eastAsia="Times New Roman"/>
          <w:color w:val="000000"/>
          <w:sz w:val="22"/>
          <w:vertAlign w:val="superscript"/>
        </w:rPr>
        <w:endnoteReference w:id="122"/>
      </w:r>
      <w:r w:rsidRPr="00C24766">
        <w:rPr>
          <w:rFonts w:eastAsia="Times New Roman"/>
          <w:color w:val="000000"/>
          <w:sz w:val="22"/>
          <w:vertAlign w:val="superscript"/>
        </w:rPr>
        <w:t>[122</w:t>
      </w:r>
      <w:proofErr w:type="gramStart"/>
      <w:r w:rsidRPr="00C24766">
        <w:rPr>
          <w:rFonts w:eastAsia="Times New Roman"/>
          <w:color w:val="000000"/>
          <w:sz w:val="22"/>
          <w:vertAlign w:val="superscript"/>
        </w:rPr>
        <w:t>]</w:t>
      </w:r>
      <w:r w:rsidRPr="00C24766">
        <w:rPr>
          <w:rFonts w:eastAsia="Times New Roman"/>
          <w:color w:val="000000"/>
          <w:sz w:val="22"/>
          <w:szCs w:val="20"/>
        </w:rPr>
        <w:t xml:space="preserve">  The</w:t>
      </w:r>
      <w:proofErr w:type="gramEnd"/>
      <w:r w:rsidRPr="00C24766">
        <w:rPr>
          <w:rFonts w:eastAsia="Times New Roman"/>
          <w:color w:val="000000"/>
          <w:sz w:val="22"/>
          <w:szCs w:val="20"/>
        </w:rPr>
        <w:t xml:space="preserve"> change reads: “No law shall abridge the right of the citizen to keep and bear arms for security and defense, for lawful hunting and recreational use and for other lawful purposes, but nothing herein shall be held to permit the carrying of concealed weapons.”</w:t>
      </w:r>
      <w:r w:rsidRPr="00C24766">
        <w:rPr>
          <w:rFonts w:eastAsia="Times New Roman"/>
          <w:color w:val="000000"/>
          <w:sz w:val="22"/>
          <w:vertAlign w:val="superscript"/>
        </w:rPr>
        <w:endnoteReference w:id="123"/>
      </w:r>
      <w:r w:rsidRPr="00C24766">
        <w:rPr>
          <w:rFonts w:eastAsia="Times New Roman"/>
          <w:color w:val="000000"/>
          <w:sz w:val="22"/>
          <w:vertAlign w:val="superscript"/>
        </w:rPr>
        <w:t>[123]</w:t>
      </w:r>
      <w:r w:rsidRPr="00C24766">
        <w:rPr>
          <w:rFonts w:eastAsia="Times New Roman"/>
          <w:color w:val="000000"/>
          <w:sz w:val="22"/>
          <w:szCs w:val="20"/>
        </w:rPr>
        <w:t xml:space="preserve"> </w:t>
      </w:r>
      <w:proofErr w:type="gramStart"/>
      <w:r w:rsidRPr="00C24766">
        <w:rPr>
          <w:rFonts w:eastAsia="Times New Roman"/>
          <w:color w:val="000000"/>
          <w:sz w:val="22"/>
          <w:szCs w:val="20"/>
        </w:rPr>
        <w:t>In</w:t>
      </w:r>
      <w:proofErr w:type="gramEnd"/>
      <w:r w:rsidRPr="00C24766">
        <w:rPr>
          <w:rFonts w:eastAsia="Times New Roman"/>
          <w:color w:val="000000"/>
          <w:sz w:val="22"/>
          <w:szCs w:val="20"/>
        </w:rPr>
        <w:t xml:space="preserve"> 1986, </w:t>
      </w:r>
      <w:smartTag w:uri="urn:schemas-microsoft-com:office:smarttags" w:element="State">
        <w:smartTag w:uri="urn:schemas-microsoft-com:office:smarttags" w:element="place">
          <w:r w:rsidRPr="00C24766">
            <w:rPr>
              <w:rFonts w:eastAsia="Times New Roman"/>
              <w:color w:val="000000"/>
              <w:sz w:val="22"/>
              <w:szCs w:val="20"/>
            </w:rPr>
            <w:t>New Mexico</w:t>
          </w:r>
        </w:smartTag>
      </w:smartTag>
      <w:r w:rsidRPr="00C24766">
        <w:rPr>
          <w:rFonts w:eastAsia="Times New Roman"/>
          <w:color w:val="000000"/>
          <w:sz w:val="22"/>
          <w:szCs w:val="20"/>
        </w:rPr>
        <w:t xml:space="preserve"> did what </w:t>
      </w:r>
      <w:smartTag w:uri="urn:schemas-microsoft-com:office:smarttags" w:element="State">
        <w:smartTag w:uri="urn:schemas-microsoft-com:office:smarttags" w:element="place">
          <w:r w:rsidRPr="00C24766">
            <w:rPr>
              <w:rFonts w:eastAsia="Times New Roman"/>
              <w:color w:val="000000"/>
              <w:sz w:val="22"/>
              <w:szCs w:val="20"/>
            </w:rPr>
            <w:t>Alaska</w:t>
          </w:r>
        </w:smartTag>
      </w:smartTag>
      <w:r w:rsidRPr="00C24766">
        <w:rPr>
          <w:rFonts w:eastAsia="Times New Roman"/>
          <w:color w:val="000000"/>
          <w:sz w:val="22"/>
          <w:szCs w:val="20"/>
        </w:rPr>
        <w:t xml:space="preserve"> would do in 1994, constitutionally forbid local regulation of firearms, adding “No municipality or county shall regulate, in any way, an incident of the right to keep and bear arms.”</w:t>
      </w:r>
      <w:r w:rsidRPr="00C24766">
        <w:rPr>
          <w:rFonts w:eastAsia="Times New Roman"/>
          <w:color w:val="000000"/>
          <w:sz w:val="22"/>
          <w:vertAlign w:val="superscript"/>
        </w:rPr>
        <w:endnoteReference w:id="124"/>
      </w:r>
      <w:r w:rsidRPr="00C24766">
        <w:rPr>
          <w:rFonts w:eastAsia="Times New Roman"/>
          <w:color w:val="000000"/>
          <w:sz w:val="22"/>
          <w:vertAlign w:val="superscript"/>
        </w:rPr>
        <w:t>[124]</w:t>
      </w:r>
      <w:r w:rsidRPr="00C24766">
        <w:rPr>
          <w:rFonts w:eastAsia="Times New Roman"/>
          <w:color w:val="000000"/>
          <w:sz w:val="22"/>
          <w:szCs w:val="20"/>
        </w:rPr>
        <w:t xml:space="preserve"> </w:t>
      </w:r>
      <w:proofErr w:type="gramStart"/>
      <w:r w:rsidRPr="00C24766">
        <w:rPr>
          <w:rFonts w:eastAsia="Times New Roman"/>
          <w:color w:val="000000"/>
          <w:sz w:val="22"/>
          <w:szCs w:val="20"/>
        </w:rPr>
        <w:t>In</w:t>
      </w:r>
      <w:proofErr w:type="gramEnd"/>
      <w:r w:rsidRPr="00C24766">
        <w:rPr>
          <w:rFonts w:eastAsia="Times New Roman"/>
          <w:color w:val="000000"/>
          <w:sz w:val="22"/>
          <w:szCs w:val="20"/>
        </w:rPr>
        <w:t xml:space="preserve"> most states, “preemption” laws against local gun control are accomplished by statute, not by constitutional mandate. Even </w:t>
      </w:r>
      <w:r w:rsidRPr="00C24766">
        <w:rPr>
          <w:rFonts w:eastAsia="Times New Roman"/>
          <w:color w:val="000000"/>
          <w:sz w:val="22"/>
          <w:szCs w:val="20"/>
        </w:rPr>
        <w:lastRenderedPageBreak/>
        <w:t xml:space="preserve">before the 1986 amendment, however, overly restrictive local gun laws were forbidden by the </w:t>
      </w:r>
      <w:smartTag w:uri="urn:schemas-microsoft-com:office:smarttags" w:element="State">
        <w:smartTag w:uri="urn:schemas-microsoft-com:office:smarttags" w:element="place">
          <w:r w:rsidRPr="00C24766">
            <w:rPr>
              <w:rFonts w:eastAsia="Times New Roman"/>
              <w:color w:val="000000"/>
              <w:sz w:val="22"/>
              <w:szCs w:val="20"/>
            </w:rPr>
            <w:t>New Mexico</w:t>
          </w:r>
        </w:smartTag>
      </w:smartTag>
      <w:r w:rsidRPr="00C24766">
        <w:rPr>
          <w:rFonts w:eastAsia="Times New Roman"/>
          <w:color w:val="000000"/>
          <w:sz w:val="22"/>
          <w:szCs w:val="20"/>
        </w:rPr>
        <w:t xml:space="preserve"> constitution.</w:t>
      </w:r>
      <w:r w:rsidRPr="00C24766">
        <w:rPr>
          <w:rFonts w:eastAsia="Times New Roman"/>
          <w:color w:val="000000"/>
          <w:sz w:val="22"/>
          <w:vertAlign w:val="superscript"/>
        </w:rPr>
        <w:endnoteReference w:id="125"/>
      </w:r>
      <w:r w:rsidRPr="00C24766">
        <w:rPr>
          <w:rFonts w:eastAsia="Times New Roman"/>
          <w:color w:val="000000"/>
          <w:sz w:val="22"/>
          <w:vertAlign w:val="superscript"/>
        </w:rPr>
        <w:t>[125]</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   </w:t>
      </w:r>
      <w:r w:rsidRPr="00C24766">
        <w:rPr>
          <w:rFonts w:eastAsia="Times New Roman"/>
          <w:color w:val="000000"/>
          <w:sz w:val="22"/>
          <w:szCs w:val="20"/>
        </w:rPr>
        <w:tab/>
        <w:t>The constitutional right to arms provisions , New Hampshire, Nebraska, and Montana were adopted as early as 1889 and as late as 1988,</w:t>
      </w:r>
      <w:r w:rsidRPr="00C24766">
        <w:rPr>
          <w:rFonts w:eastAsia="Times New Roman"/>
          <w:color w:val="000000"/>
          <w:sz w:val="22"/>
          <w:vertAlign w:val="superscript"/>
        </w:rPr>
        <w:endnoteReference w:id="126"/>
      </w:r>
      <w:r w:rsidRPr="00C24766">
        <w:rPr>
          <w:rFonts w:eastAsia="Times New Roman"/>
          <w:color w:val="000000"/>
          <w:sz w:val="22"/>
          <w:vertAlign w:val="superscript"/>
        </w:rPr>
        <w:t>[126]</w:t>
      </w:r>
      <w:r w:rsidRPr="00C24766">
        <w:rPr>
          <w:rFonts w:eastAsia="Times New Roman"/>
          <w:color w:val="000000"/>
          <w:sz w:val="22"/>
          <w:szCs w:val="20"/>
        </w:rPr>
        <w:t xml:space="preserve"> but each constitution uses </w:t>
      </w:r>
      <w:r w:rsidRPr="00C24766">
        <w:rPr>
          <w:rFonts w:eastAsia="Times New Roman"/>
          <w:color w:val="000000"/>
          <w:sz w:val="22"/>
          <w:szCs w:val="22"/>
        </w:rPr>
        <w:t>"</w:t>
      </w:r>
      <w:r w:rsidRPr="00C24766">
        <w:rPr>
          <w:rFonts w:eastAsia="Times New Roman"/>
          <w:color w:val="000000"/>
          <w:sz w:val="22"/>
          <w:szCs w:val="20"/>
        </w:rPr>
        <w:t>right to keep and bear arms" to refer unmistakably to an individual right to arms. The usage reflects the shared understanding of the vast majority of the American people that the same phrase in the Second Amendment likewise guarantees a right to every responsible citizen. The popular votes in favor of creating and strengthening these provisions attest to the perceived contemporary importance of the right to keep and bear arms.</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Ohio</w:t>
          </w:r>
        </w:smartTag>
      </w:smartTag>
      <w:r w:rsidRPr="00C24766">
        <w:rPr>
          <w:rFonts w:eastAsia="Times New Roman"/>
          <w:b/>
          <w:color w:val="000000"/>
          <w:sz w:val="22"/>
          <w:szCs w:val="20"/>
        </w:rPr>
        <w:t>:</w:t>
      </w:r>
      <w:r w:rsidRPr="00C24766">
        <w:rPr>
          <w:rFonts w:eastAsia="Times New Roman"/>
          <w:color w:val="000000"/>
          <w:sz w:val="22"/>
          <w:szCs w:val="20"/>
        </w:rPr>
        <w:t xml:space="preserve"> “The people have the right to bear arms for their defense and security; but standing armies, in time of peace, are dangerous to liberty, and shall not be kept up; and the military shall be in strict subordination to the civil power.”</w:t>
      </w:r>
      <w:r w:rsidRPr="00C24766">
        <w:rPr>
          <w:rFonts w:eastAsia="Times New Roman"/>
          <w:color w:val="000000"/>
          <w:sz w:val="22"/>
          <w:vertAlign w:val="superscript"/>
        </w:rPr>
        <w:endnoteReference w:id="127"/>
      </w:r>
      <w:r w:rsidRPr="00C24766">
        <w:rPr>
          <w:rFonts w:eastAsia="Times New Roman"/>
          <w:color w:val="000000"/>
          <w:sz w:val="22"/>
          <w:vertAlign w:val="superscript"/>
        </w:rPr>
        <w:t>[127]</w:t>
      </w:r>
      <w:r w:rsidRPr="00C24766">
        <w:rPr>
          <w:rFonts w:eastAsia="Times New Roman"/>
          <w:color w:val="000000"/>
          <w:sz w:val="22"/>
          <w:szCs w:val="20"/>
        </w:rPr>
        <w:t xml:space="preserve"> This 1851 language replaced an 1802 provision: “That the people have a right to bear arms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 and as standing armies, in time of peace, are dangerous to liberty, they shall not be kept up, and that the military shall be kept under strict subordination to the civil power.”</w:t>
      </w:r>
      <w:r w:rsidRPr="00C24766">
        <w:rPr>
          <w:rFonts w:eastAsia="Times New Roman"/>
          <w:color w:val="000000"/>
          <w:sz w:val="22"/>
          <w:vertAlign w:val="superscript"/>
        </w:rPr>
        <w:endnoteReference w:id="128"/>
      </w:r>
      <w:r w:rsidRPr="00C24766">
        <w:rPr>
          <w:rFonts w:eastAsia="Times New Roman"/>
          <w:color w:val="000000"/>
          <w:sz w:val="22"/>
          <w:vertAlign w:val="superscript"/>
        </w:rPr>
        <w:t>[128]</w:t>
      </w:r>
    </w:p>
    <w:p w:rsidR="00C24766" w:rsidRPr="00C24766" w:rsidRDefault="00C24766" w:rsidP="00C24766">
      <w:pPr>
        <w:ind w:firstLine="720"/>
        <w:jc w:val="both"/>
        <w:rPr>
          <w:rFonts w:eastAsia="Times New Roman"/>
          <w:color w:val="000000"/>
        </w:rPr>
      </w:pPr>
      <w:r w:rsidRPr="00C24766">
        <w:rPr>
          <w:rFonts w:eastAsia="Times New Roman"/>
          <w:color w:val="000000"/>
          <w:sz w:val="22"/>
          <w:szCs w:val="20"/>
        </w:rPr>
        <w:t xml:space="preserve">The 1851 phrase “for their defense and security” apparently served as a model for </w:t>
      </w:r>
      <w:smartTag w:uri="urn:schemas-microsoft-com:office:smarttags" w:element="State">
        <w:smartTag w:uri="urn:schemas-microsoft-com:office:smarttags" w:element="place">
          <w:r w:rsidRPr="00C24766">
            <w:rPr>
              <w:rFonts w:eastAsia="Times New Roman"/>
              <w:color w:val="000000"/>
              <w:sz w:val="22"/>
              <w:szCs w:val="20"/>
            </w:rPr>
            <w:t>New Mexico</w:t>
          </w:r>
        </w:smartTag>
      </w:smartTag>
      <w:r w:rsidRPr="00C24766">
        <w:rPr>
          <w:rFonts w:eastAsia="Times New Roman"/>
          <w:color w:val="000000"/>
          <w:sz w:val="22"/>
          <w:szCs w:val="20"/>
        </w:rPr>
        <w:t>’s 1912 “security and defense” language.</w:t>
      </w:r>
      <w:r w:rsidRPr="00C24766">
        <w:rPr>
          <w:rFonts w:eastAsia="Times New Roman"/>
          <w:color w:val="000000"/>
          <w:sz w:val="22"/>
          <w:vertAlign w:val="superscript"/>
        </w:rPr>
        <w:endnoteReference w:id="129"/>
      </w:r>
      <w:r w:rsidRPr="00C24766">
        <w:rPr>
          <w:rFonts w:eastAsia="Times New Roman"/>
          <w:color w:val="000000"/>
          <w:sz w:val="22"/>
          <w:vertAlign w:val="superscript"/>
        </w:rPr>
        <w:t>[129]</w:t>
      </w:r>
      <w:r w:rsidRPr="00C24766">
        <w:rPr>
          <w:rFonts w:eastAsia="Times New Roman"/>
          <w:color w:val="000000"/>
          <w:sz w:val="22"/>
          <w:szCs w:val="20"/>
        </w:rPr>
        <w:t xml:space="preserve"> The 1851 </w:t>
      </w:r>
      <w:smartTag w:uri="urn:schemas-microsoft-com:office:smarttags" w:element="State">
        <w:smartTag w:uri="urn:schemas-microsoft-com:office:smarttags" w:element="place">
          <w:r w:rsidRPr="00C24766">
            <w:rPr>
              <w:rFonts w:eastAsia="Times New Roman"/>
              <w:color w:val="000000"/>
              <w:sz w:val="22"/>
              <w:szCs w:val="20"/>
            </w:rPr>
            <w:t>Ohio</w:t>
          </w:r>
        </w:smartTag>
      </w:smartTag>
      <w:r w:rsidRPr="00C24766">
        <w:rPr>
          <w:rFonts w:eastAsia="Times New Roman"/>
          <w:color w:val="000000"/>
          <w:sz w:val="22"/>
          <w:szCs w:val="20"/>
        </w:rPr>
        <w:t xml:space="preserve"> language was less explicit in protecting personal defense than was the 1802 </w:t>
      </w:r>
      <w:smartTag w:uri="urn:schemas-microsoft-com:office:smarttags" w:element="State">
        <w:smartTag w:uri="urn:schemas-microsoft-com:office:smarttags" w:element="place">
          <w:r w:rsidRPr="00C24766">
            <w:rPr>
              <w:rFonts w:eastAsia="Times New Roman"/>
              <w:color w:val="000000"/>
              <w:sz w:val="22"/>
              <w:szCs w:val="20"/>
            </w:rPr>
            <w:t>Ohio</w:t>
          </w:r>
        </w:smartTag>
      </w:smartTag>
      <w:r w:rsidRPr="00C24766">
        <w:rPr>
          <w:rFonts w:eastAsia="Times New Roman"/>
          <w:color w:val="000000"/>
          <w:sz w:val="22"/>
          <w:szCs w:val="20"/>
        </w:rPr>
        <w:t xml:space="preserve"> language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 Even so, </w:t>
      </w:r>
      <w:smartTag w:uri="urn:schemas-microsoft-com:office:smarttags" w:element="State">
        <w:smartTag w:uri="urn:schemas-microsoft-com:office:smarttags" w:element="place">
          <w:r w:rsidRPr="00C24766">
            <w:rPr>
              <w:rFonts w:eastAsia="Times New Roman"/>
              <w:color w:val="000000"/>
              <w:sz w:val="22"/>
              <w:szCs w:val="20"/>
            </w:rPr>
            <w:t>Ohio</w:t>
          </w:r>
        </w:smartTag>
      </w:smartTag>
      <w:r w:rsidRPr="00C24766">
        <w:rPr>
          <w:rFonts w:eastAsia="Times New Roman"/>
          <w:color w:val="000000"/>
          <w:sz w:val="22"/>
          <w:szCs w:val="20"/>
        </w:rPr>
        <w:t xml:space="preserve"> courts have always construed their constitution to protect an individual right of </w:t>
      </w:r>
      <w:smartTag w:uri="urn:schemas-microsoft-com:office:smarttags" w:element="State">
        <w:smartTag w:uri="urn:schemas-microsoft-com:office:smarttags" w:element="place">
          <w:r w:rsidRPr="00C24766">
            <w:rPr>
              <w:rFonts w:eastAsia="Times New Roman"/>
              <w:color w:val="000000"/>
              <w:sz w:val="22"/>
              <w:szCs w:val="20"/>
            </w:rPr>
            <w:t>Ohio</w:t>
          </w:r>
        </w:smartTag>
      </w:smartTag>
      <w:r w:rsidRPr="00C24766">
        <w:rPr>
          <w:rFonts w:eastAsia="Times New Roman"/>
          <w:color w:val="000000"/>
          <w:sz w:val="22"/>
          <w:szCs w:val="20"/>
        </w:rPr>
        <w:t xml:space="preserve"> citizens to own and carry guns for lawful purposes.</w:t>
      </w:r>
      <w:r w:rsidRPr="00C24766">
        <w:rPr>
          <w:rFonts w:eastAsia="Times New Roman"/>
          <w:color w:val="000000"/>
          <w:sz w:val="22"/>
          <w:vertAlign w:val="superscript"/>
        </w:rPr>
        <w:endnoteReference w:id="130"/>
      </w:r>
      <w:r w:rsidRPr="00C24766">
        <w:rPr>
          <w:rFonts w:eastAsia="Times New Roman"/>
          <w:color w:val="000000"/>
          <w:sz w:val="22"/>
          <w:vertAlign w:val="superscript"/>
        </w:rPr>
        <w:t>[130]</w:t>
      </w:r>
      <w:r w:rsidRPr="00C24766">
        <w:rPr>
          <w:rFonts w:eastAsia="Times New Roman"/>
          <w:color w:val="000000"/>
          <w:sz w:val="22"/>
          <w:szCs w:val="20"/>
        </w:rPr>
        <w:t xml:space="preserve"> The fact that </w:t>
      </w:r>
      <w:smartTag w:uri="urn:schemas-microsoft-com:office:smarttags" w:element="State">
        <w:smartTag w:uri="urn:schemas-microsoft-com:office:smarttags" w:element="place">
          <w:r w:rsidRPr="00C24766">
            <w:rPr>
              <w:rFonts w:eastAsia="Times New Roman"/>
              <w:color w:val="000000"/>
              <w:sz w:val="22"/>
              <w:szCs w:val="20"/>
            </w:rPr>
            <w:t>Ohio</w:t>
          </w:r>
        </w:smartTag>
      </w:smartTag>
      <w:r w:rsidRPr="00C24766">
        <w:rPr>
          <w:rFonts w:eastAsia="Times New Roman"/>
          <w:color w:val="000000"/>
          <w:sz w:val="22"/>
          <w:szCs w:val="20"/>
        </w:rPr>
        <w:t xml:space="preserve"> -- like </w:t>
      </w:r>
      <w:smartTag w:uri="urn:schemas-microsoft-com:office:smarttags" w:element="State">
        <w:smartTag w:uri="urn:schemas-microsoft-com:office:smarttags" w:element="place">
          <w:r w:rsidRPr="00C24766">
            <w:rPr>
              <w:rFonts w:eastAsia="Times New Roman"/>
              <w:color w:val="000000"/>
              <w:sz w:val="22"/>
              <w:szCs w:val="20"/>
            </w:rPr>
            <w:t>Oregon</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Pennsylvania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South Carolina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Texas</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Vermont</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Virginia</w:t>
          </w:r>
        </w:smartTag>
      </w:smartTag>
      <w:r w:rsidRPr="00C24766">
        <w:rPr>
          <w:rFonts w:eastAsia="Times New Roman"/>
          <w:color w:val="000000"/>
          <w:sz w:val="22"/>
          <w:szCs w:val="20"/>
        </w:rPr>
        <w:t xml:space="preserve"> -- combines an arms right with anti-standing army language, does not prevent the arms right from being interpreted as applying to all citizens, not just the militia.</w:t>
      </w:r>
    </w:p>
    <w:p w:rsidR="00C24766" w:rsidRPr="00C24766" w:rsidRDefault="00C24766" w:rsidP="00C24766">
      <w:pPr>
        <w:jc w:val="both"/>
        <w:rPr>
          <w:rFonts w:eastAsia="Times New Roman"/>
          <w:color w:val="000000"/>
          <w:sz w:val="22"/>
          <w:szCs w:val="20"/>
        </w:rPr>
      </w:pPr>
      <w:r w:rsidRPr="00C24766">
        <w:rPr>
          <w:rFonts w:eastAsia="Times New Roman"/>
          <w:b/>
          <w:color w:val="000000"/>
          <w:sz w:val="22"/>
          <w:szCs w:val="20"/>
        </w:rPr>
        <w:t>Oklahoma</w:t>
      </w:r>
      <w:r w:rsidRPr="00C24766">
        <w:rPr>
          <w:rFonts w:eastAsia="Times New Roman"/>
          <w:color w:val="000000"/>
          <w:sz w:val="22"/>
          <w:szCs w:val="20"/>
        </w:rPr>
        <w:t>: Oklahoma copied Colorado’s provision “The right of a citizen to keep and bear arms in defense of his home, person, or property, or in aid of the civil power, when thereunto legally summoned, shall never be prohibited; but nothing herein contained shall prevent the Legislature from regulating the carrying of weapons.”</w:t>
      </w:r>
      <w:r w:rsidRPr="00C24766">
        <w:rPr>
          <w:rFonts w:eastAsia="Times New Roman"/>
          <w:color w:val="000000"/>
          <w:sz w:val="22"/>
          <w:vertAlign w:val="superscript"/>
        </w:rPr>
        <w:endnoteReference w:id="131"/>
      </w:r>
      <w:r w:rsidRPr="00C24766">
        <w:rPr>
          <w:rFonts w:eastAsia="Times New Roman"/>
          <w:color w:val="000000"/>
          <w:sz w:val="22"/>
          <w:vertAlign w:val="superscript"/>
        </w:rPr>
        <w:t>[131]</w:t>
      </w:r>
      <w:r w:rsidRPr="00C24766">
        <w:rPr>
          <w:rFonts w:eastAsia="Times New Roman"/>
          <w:color w:val="000000"/>
          <w:sz w:val="22"/>
          <w:szCs w:val="20"/>
        </w:rPr>
        <w:t xml:space="preserve"> </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Oregon</w:t>
          </w:r>
        </w:smartTag>
      </w:smartTag>
      <w:r w:rsidRPr="00C24766">
        <w:rPr>
          <w:rFonts w:eastAsia="Times New Roman"/>
          <w:color w:val="000000"/>
          <w:sz w:val="22"/>
          <w:szCs w:val="20"/>
        </w:rPr>
        <w:t xml:space="preserve">: “The people shall have the right to bear arms for the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the State, but the Military shall be kept in strict subordination to the civil </w:t>
      </w:r>
      <w:proofErr w:type="gramStart"/>
      <w:r w:rsidRPr="00C24766">
        <w:rPr>
          <w:rFonts w:eastAsia="Times New Roman"/>
          <w:color w:val="000000"/>
          <w:sz w:val="22"/>
          <w:szCs w:val="20"/>
        </w:rPr>
        <w:t>power[</w:t>
      </w:r>
      <w:proofErr w:type="gramEnd"/>
      <w:r w:rsidRPr="00C24766">
        <w:rPr>
          <w:rFonts w:eastAsia="Times New Roman"/>
          <w:color w:val="000000"/>
          <w:sz w:val="22"/>
          <w:szCs w:val="20"/>
        </w:rPr>
        <w:t>.]”</w:t>
      </w:r>
      <w:r w:rsidRPr="00C24766">
        <w:rPr>
          <w:rFonts w:eastAsia="Times New Roman"/>
          <w:color w:val="000000"/>
          <w:sz w:val="22"/>
          <w:vertAlign w:val="superscript"/>
        </w:rPr>
        <w:endnoteReference w:id="132"/>
      </w:r>
      <w:r w:rsidRPr="00C24766">
        <w:rPr>
          <w:rFonts w:eastAsia="Times New Roman"/>
          <w:color w:val="000000"/>
          <w:sz w:val="22"/>
          <w:vertAlign w:val="superscript"/>
        </w:rPr>
        <w:t>[132]</w:t>
      </w:r>
      <w:r w:rsidRPr="00C24766">
        <w:rPr>
          <w:rFonts w:eastAsia="Times New Roman"/>
          <w:color w:val="000000"/>
          <w:sz w:val="22"/>
          <w:szCs w:val="20"/>
        </w:rPr>
        <w:t>Although half the sentence is about controlling the military, Oregon courts have always construed the state constitution to protect the bearing of arms, including those suitable for militia purposes, as well as those unsuitable for the militia but useful for personal defense, such as black jacks and knives.</w:t>
      </w:r>
      <w:r w:rsidRPr="00C24766">
        <w:rPr>
          <w:rFonts w:eastAsia="Times New Roman"/>
          <w:color w:val="000000"/>
          <w:sz w:val="22"/>
          <w:vertAlign w:val="superscript"/>
        </w:rPr>
        <w:endnoteReference w:id="133"/>
      </w:r>
      <w:r w:rsidRPr="00C24766">
        <w:rPr>
          <w:rFonts w:eastAsia="Times New Roman"/>
          <w:color w:val="000000"/>
          <w:sz w:val="22"/>
          <w:vertAlign w:val="superscript"/>
        </w:rPr>
        <w:t>[133]</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rPr>
            <w:t>Rhode Island</w:t>
          </w:r>
        </w:smartTag>
      </w:smartTag>
      <w:r w:rsidRPr="00C24766">
        <w:rPr>
          <w:rFonts w:eastAsia="Times New Roman"/>
          <w:color w:val="000000"/>
          <w:sz w:val="22"/>
        </w:rPr>
        <w:t xml:space="preserve">:  Although </w:t>
      </w:r>
      <w:smartTag w:uri="urn:schemas-microsoft-com:office:smarttags" w:element="State">
        <w:smartTag w:uri="urn:schemas-microsoft-com:office:smarttags" w:element="place">
          <w:r w:rsidRPr="00C24766">
            <w:rPr>
              <w:rFonts w:eastAsia="Times New Roman"/>
              <w:color w:val="000000"/>
              <w:sz w:val="22"/>
            </w:rPr>
            <w:t>Rhode Island</w:t>
          </w:r>
        </w:smartTag>
      </w:smartTag>
      <w:r w:rsidRPr="00C24766">
        <w:rPr>
          <w:rFonts w:eastAsia="Times New Roman"/>
          <w:color w:val="000000"/>
          <w:sz w:val="22"/>
        </w:rPr>
        <w:t xml:space="preserve"> became independent in 1776, no state constitution was created until 1842.</w:t>
      </w:r>
      <w:r w:rsidRPr="00C24766">
        <w:rPr>
          <w:rFonts w:eastAsia="Times New Roman"/>
          <w:color w:val="000000"/>
          <w:vertAlign w:val="superscript"/>
        </w:rPr>
        <w:endnoteReference w:id="134"/>
      </w:r>
      <w:r w:rsidRPr="00C24766">
        <w:rPr>
          <w:rFonts w:eastAsia="Times New Roman"/>
          <w:color w:val="000000"/>
          <w:sz w:val="22"/>
          <w:vertAlign w:val="superscript"/>
        </w:rPr>
        <w:t>[134]</w:t>
      </w:r>
      <w:r w:rsidRPr="00C24766">
        <w:rPr>
          <w:rFonts w:eastAsia="Times New Roman"/>
          <w:color w:val="000000"/>
          <w:sz w:val="22"/>
        </w:rPr>
        <w:t xml:space="preserve"> </w:t>
      </w:r>
      <w:proofErr w:type="gramStart"/>
      <w:r w:rsidRPr="00C24766">
        <w:rPr>
          <w:rFonts w:eastAsia="Times New Roman"/>
          <w:color w:val="000000"/>
          <w:sz w:val="22"/>
        </w:rPr>
        <w:t>The</w:t>
      </w:r>
      <w:proofErr w:type="gramEnd"/>
      <w:r w:rsidRPr="00C24766">
        <w:rPr>
          <w:rFonts w:eastAsia="Times New Roman"/>
          <w:color w:val="000000"/>
          <w:sz w:val="22"/>
        </w:rPr>
        <w:t xml:space="preserve"> constitution was created after an unsuccessful attempted revolution, known as The Dorr War, against </w:t>
      </w:r>
      <w:smartTag w:uri="urn:schemas-microsoft-com:office:smarttags" w:element="State">
        <w:smartTag w:uri="urn:schemas-microsoft-com:office:smarttags" w:element="place">
          <w:r w:rsidRPr="00C24766">
            <w:rPr>
              <w:rFonts w:eastAsia="Times New Roman"/>
              <w:color w:val="000000"/>
              <w:sz w:val="22"/>
            </w:rPr>
            <w:t>Rhode Island</w:t>
          </w:r>
        </w:smartTag>
      </w:smartTag>
      <w:r w:rsidRPr="00C24766">
        <w:rPr>
          <w:rFonts w:eastAsia="Times New Roman"/>
          <w:color w:val="000000"/>
          <w:sz w:val="22"/>
        </w:rPr>
        <w:t>’s highly aristocratic and undemocratic government.</w:t>
      </w:r>
      <w:r w:rsidRPr="00C24766">
        <w:rPr>
          <w:rFonts w:eastAsia="Times New Roman"/>
          <w:color w:val="000000"/>
          <w:vertAlign w:val="superscript"/>
        </w:rPr>
        <w:endnoteReference w:id="135"/>
      </w:r>
      <w:r w:rsidRPr="00C24766">
        <w:rPr>
          <w:rFonts w:eastAsia="Times New Roman"/>
          <w:color w:val="000000"/>
          <w:sz w:val="22"/>
          <w:vertAlign w:val="superscript"/>
        </w:rPr>
        <w:t>[135]</w:t>
      </w:r>
      <w:r w:rsidRPr="00C24766">
        <w:rPr>
          <w:rFonts w:eastAsia="Times New Roman"/>
          <w:color w:val="000000"/>
          <w:sz w:val="22"/>
        </w:rPr>
        <w:t xml:space="preserve"> Although the drafters of the Rhode Island Constitution writers had just suppressed what they considered an illegitimate armed insurrection, the popular appeal of the right to bear arms was apparently so strong that the right was included in the constitution: “</w:t>
      </w:r>
      <w:r w:rsidRPr="00C24766">
        <w:rPr>
          <w:rFonts w:eastAsia="Times New Roman"/>
          <w:color w:val="000000"/>
          <w:sz w:val="22"/>
          <w:szCs w:val="20"/>
        </w:rPr>
        <w:t>The right of the people to keep and bear arms shall not be infringed.”</w:t>
      </w:r>
      <w:r w:rsidRPr="00C24766">
        <w:rPr>
          <w:rFonts w:eastAsia="Times New Roman"/>
          <w:color w:val="000000"/>
          <w:sz w:val="22"/>
          <w:vertAlign w:val="superscript"/>
        </w:rPr>
        <w:endnoteReference w:id="136"/>
      </w:r>
      <w:r w:rsidRPr="00C24766">
        <w:rPr>
          <w:rFonts w:eastAsia="Times New Roman"/>
          <w:color w:val="000000"/>
          <w:sz w:val="22"/>
          <w:vertAlign w:val="superscript"/>
        </w:rPr>
        <w:t>[136]</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rPr>
            <w:t>South Dakota</w:t>
          </w:r>
        </w:smartTag>
      </w:smartTag>
      <w:r w:rsidRPr="00C24766">
        <w:rPr>
          <w:rFonts w:eastAsia="Times New Roman"/>
          <w:b/>
          <w:color w:val="000000"/>
          <w:sz w:val="22"/>
        </w:rPr>
        <w:t>:</w:t>
      </w:r>
      <w:r w:rsidRPr="00C24766">
        <w:rPr>
          <w:rFonts w:eastAsia="Times New Roman"/>
          <w:color w:val="000000"/>
          <w:sz w:val="22"/>
          <w:szCs w:val="20"/>
        </w:rPr>
        <w:t> </w:t>
      </w:r>
      <w:smartTag w:uri="urn:schemas-microsoft-com:office:smarttags" w:element="State">
        <w:smartTag w:uri="urn:schemas-microsoft-com:office:smarttags" w:element="place">
          <w:r w:rsidRPr="00C24766">
            <w:rPr>
              <w:rFonts w:eastAsia="Times New Roman"/>
              <w:color w:val="000000"/>
              <w:sz w:val="22"/>
              <w:szCs w:val="20"/>
            </w:rPr>
            <w:t>South Dakota</w:t>
          </w:r>
        </w:smartTag>
      </w:smartTag>
      <w:r w:rsidRPr="00C24766">
        <w:rPr>
          <w:rFonts w:eastAsia="Times New Roman"/>
          <w:color w:val="000000"/>
          <w:sz w:val="22"/>
          <w:szCs w:val="20"/>
        </w:rPr>
        <w:t>’s 1889 Constitution reflects strong popular support for gun rights, as the constitution omits the exceptions for concealed carrying of arms and for large assemblies of armed men which were common in other state constitutions from the period: “The right of the citizens to bear arms in defense of themselves and the state shall not be denied.”</w:t>
      </w:r>
      <w:r w:rsidRPr="00C24766">
        <w:rPr>
          <w:rFonts w:eastAsia="Times New Roman"/>
          <w:color w:val="000000"/>
          <w:sz w:val="22"/>
          <w:vertAlign w:val="superscript"/>
        </w:rPr>
        <w:endnoteReference w:id="137"/>
      </w:r>
      <w:r w:rsidRPr="00C24766">
        <w:rPr>
          <w:rFonts w:eastAsia="Times New Roman"/>
          <w:color w:val="000000"/>
          <w:sz w:val="22"/>
          <w:vertAlign w:val="superscript"/>
        </w:rPr>
        <w:t>[137]</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Tennessee</w:t>
          </w:r>
        </w:smartTag>
      </w:smartTag>
      <w:r w:rsidRPr="00C24766">
        <w:rPr>
          <w:rFonts w:eastAsia="Times New Roman"/>
          <w:color w:val="000000"/>
          <w:sz w:val="22"/>
          <w:szCs w:val="20"/>
        </w:rPr>
        <w:t xml:space="preserve">: The original 1796 constitution provided: “That the freemen of this State have a right to keep and bear arms for their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w:t>
      </w:r>
      <w:r w:rsidRPr="00C24766">
        <w:rPr>
          <w:rFonts w:eastAsia="Times New Roman"/>
          <w:color w:val="000000"/>
          <w:sz w:val="22"/>
          <w:vertAlign w:val="superscript"/>
        </w:rPr>
        <w:endnoteReference w:id="138"/>
      </w:r>
      <w:r w:rsidRPr="00C24766">
        <w:rPr>
          <w:rFonts w:eastAsia="Times New Roman"/>
          <w:color w:val="000000"/>
          <w:sz w:val="22"/>
          <w:vertAlign w:val="superscript"/>
        </w:rPr>
        <w:t>[138]</w:t>
      </w:r>
      <w:r w:rsidRPr="00C24766">
        <w:rPr>
          <w:rFonts w:eastAsia="Times New Roman"/>
          <w:color w:val="000000"/>
          <w:sz w:val="22"/>
          <w:szCs w:val="20"/>
        </w:rPr>
        <w:t xml:space="preserve"> During Reconstruction, the clause was re-written: “That the citizens of this State have a right to keep and to bear arms for their common defense; but the Legislature shall have power, by law, to regulate the wearing of arms with a view to prevent crime.”</w:t>
      </w:r>
      <w:r w:rsidRPr="00C24766">
        <w:rPr>
          <w:rFonts w:eastAsia="Times New Roman"/>
          <w:color w:val="000000"/>
          <w:sz w:val="22"/>
          <w:vertAlign w:val="superscript"/>
        </w:rPr>
        <w:endnoteReference w:id="139"/>
      </w:r>
      <w:r w:rsidRPr="00C24766">
        <w:rPr>
          <w:rFonts w:eastAsia="Times New Roman"/>
          <w:color w:val="000000"/>
          <w:sz w:val="22"/>
          <w:vertAlign w:val="superscript"/>
        </w:rPr>
        <w:t>[139]</w:t>
      </w:r>
      <w:r w:rsidRPr="00C24766">
        <w:rPr>
          <w:rFonts w:eastAsia="Times New Roman"/>
          <w:color w:val="000000"/>
          <w:sz w:val="22"/>
          <w:szCs w:val="20"/>
        </w:rPr>
        <w:t xml:space="preserve">  </w:t>
      </w:r>
      <w:r w:rsidRPr="00C24766">
        <w:rPr>
          <w:rFonts w:eastAsia="Times New Roman"/>
          <w:color w:val="000000"/>
          <w:sz w:val="22"/>
          <w:szCs w:val="20"/>
        </w:rPr>
        <w:tab/>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 </w:t>
      </w:r>
      <w:r w:rsidRPr="00C24766">
        <w:rPr>
          <w:rFonts w:eastAsia="Times New Roman"/>
          <w:color w:val="000000"/>
          <w:sz w:val="22"/>
          <w:szCs w:val="20"/>
        </w:rPr>
        <w:tab/>
      </w:r>
      <w:smartTag w:uri="urn:schemas-microsoft-com:office:smarttags" w:element="State">
        <w:smartTag w:uri="urn:schemas-microsoft-com:office:smarttags" w:element="place">
          <w:r w:rsidRPr="00C24766">
            <w:rPr>
              <w:rFonts w:eastAsia="Times New Roman"/>
              <w:color w:val="000000"/>
              <w:sz w:val="22"/>
              <w:szCs w:val="20"/>
            </w:rPr>
            <w:t>Tennessee</w:t>
          </w:r>
        </w:smartTag>
      </w:smartTag>
      <w:r w:rsidRPr="00C24766">
        <w:rPr>
          <w:rFonts w:eastAsia="Times New Roman"/>
          <w:color w:val="000000"/>
          <w:sz w:val="22"/>
          <w:szCs w:val="20"/>
        </w:rPr>
        <w:t xml:space="preserve">'s Constitution mentions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and does not specifically state any other purposes for the arms right. The Tennessee Supreme Court in the 1840 </w:t>
      </w:r>
      <w:proofErr w:type="spellStart"/>
      <w:r w:rsidRPr="00C24766">
        <w:rPr>
          <w:rFonts w:eastAsia="Times New Roman"/>
          <w:i/>
          <w:color w:val="000000"/>
          <w:sz w:val="22"/>
          <w:szCs w:val="20"/>
        </w:rPr>
        <w:t>Aymette</w:t>
      </w:r>
      <w:proofErr w:type="spellEnd"/>
      <w:r w:rsidRPr="00C24766">
        <w:rPr>
          <w:rFonts w:eastAsia="Times New Roman"/>
          <w:color w:val="000000"/>
          <w:sz w:val="22"/>
          <w:szCs w:val="20"/>
        </w:rPr>
        <w:t xml:space="preserve"> case interpreted the Tennessee guarantee, and suggested that the Second Amendment was intended “[</w:t>
      </w:r>
      <w:proofErr w:type="spellStart"/>
      <w:r w:rsidRPr="00C24766">
        <w:rPr>
          <w:rFonts w:eastAsia="Times New Roman"/>
          <w:color w:val="000000"/>
          <w:sz w:val="22"/>
          <w:szCs w:val="20"/>
        </w:rPr>
        <w:t>i</w:t>
      </w:r>
      <w:proofErr w:type="spellEnd"/>
      <w:r w:rsidRPr="00C24766">
        <w:rPr>
          <w:rFonts w:eastAsia="Times New Roman"/>
          <w:color w:val="000000"/>
          <w:sz w:val="22"/>
          <w:szCs w:val="20"/>
        </w:rPr>
        <w:t>]n the same view.”</w:t>
      </w:r>
      <w:r w:rsidRPr="00C24766">
        <w:rPr>
          <w:rFonts w:eastAsia="Times New Roman"/>
          <w:color w:val="000000"/>
          <w:sz w:val="22"/>
          <w:vertAlign w:val="superscript"/>
        </w:rPr>
        <w:endnoteReference w:id="140"/>
      </w:r>
      <w:r w:rsidRPr="00C24766">
        <w:rPr>
          <w:rFonts w:eastAsia="Times New Roman"/>
          <w:color w:val="000000"/>
          <w:sz w:val="22"/>
          <w:vertAlign w:val="superscript"/>
        </w:rPr>
        <w:t>[140]</w:t>
      </w:r>
      <w:r w:rsidRPr="00C24766">
        <w:rPr>
          <w:rFonts w:eastAsia="Times New Roman"/>
          <w:color w:val="000000"/>
          <w:sz w:val="22"/>
          <w:szCs w:val="20"/>
        </w:rPr>
        <w:t xml:space="preserve"> The Court held that bearing arms was only for militia purposes, and that keeping arms was only for collective resistance to tyranny, not for “private” defense.</w:t>
      </w:r>
      <w:r w:rsidRPr="00C24766">
        <w:rPr>
          <w:rFonts w:eastAsia="Times New Roman"/>
          <w:color w:val="000000"/>
          <w:sz w:val="22"/>
          <w:vertAlign w:val="superscript"/>
        </w:rPr>
        <w:endnoteReference w:id="141"/>
      </w:r>
      <w:r w:rsidRPr="00C24766">
        <w:rPr>
          <w:rFonts w:eastAsia="Times New Roman"/>
          <w:color w:val="000000"/>
          <w:sz w:val="22"/>
          <w:vertAlign w:val="superscript"/>
        </w:rPr>
        <w:t>[141]</w:t>
      </w:r>
      <w:r w:rsidRPr="00C24766">
        <w:rPr>
          <w:rFonts w:eastAsia="Times New Roman"/>
          <w:color w:val="000000"/>
          <w:sz w:val="22"/>
          <w:szCs w:val="20"/>
        </w:rPr>
        <w:t xml:space="preserve"> But even in </w:t>
      </w:r>
      <w:proofErr w:type="spellStart"/>
      <w:r w:rsidRPr="00C24766">
        <w:rPr>
          <w:rFonts w:eastAsia="Times New Roman"/>
          <w:i/>
          <w:color w:val="000000"/>
          <w:sz w:val="22"/>
          <w:szCs w:val="20"/>
        </w:rPr>
        <w:t>Aymette</w:t>
      </w:r>
      <w:proofErr w:type="spellEnd"/>
      <w:r w:rsidRPr="00C24766">
        <w:rPr>
          <w:rFonts w:eastAsia="Times New Roman"/>
          <w:color w:val="000000"/>
          <w:sz w:val="22"/>
          <w:szCs w:val="20"/>
        </w:rPr>
        <w:t xml:space="preserve">, the right to own firearms was not restricted solely to people who might be militiamen; rather the right belonged to all citizens: “The citizens have the unqualified right to </w:t>
      </w:r>
      <w:r w:rsidRPr="00C24766">
        <w:rPr>
          <w:rFonts w:eastAsia="Times New Roman"/>
          <w:i/>
          <w:color w:val="000000"/>
          <w:sz w:val="22"/>
          <w:szCs w:val="20"/>
        </w:rPr>
        <w:t>keep</w:t>
      </w:r>
      <w:r w:rsidRPr="00C24766">
        <w:rPr>
          <w:rFonts w:eastAsia="Times New Roman"/>
          <w:color w:val="000000"/>
          <w:sz w:val="22"/>
          <w:szCs w:val="20"/>
        </w:rPr>
        <w:t xml:space="preserve"> the weapon .</w:t>
      </w:r>
      <w:r w:rsidRPr="00C24766">
        <w:rPr>
          <w:rFonts w:eastAsia="Times New Roman"/>
          <w:color w:val="000000"/>
          <w:sz w:val="22"/>
          <w:szCs w:val="20"/>
        </w:rPr>
        <w:sym w:font="WP TypographicSymbols" w:char="0059"/>
      </w:r>
      <w:r w:rsidRPr="00C24766">
        <w:rPr>
          <w:rFonts w:eastAsia="Times New Roman"/>
          <w:color w:val="000000"/>
          <w:sz w:val="22"/>
          <w:szCs w:val="20"/>
        </w:rPr>
        <w:t xml:space="preserve"> But the right to </w:t>
      </w:r>
      <w:r w:rsidRPr="00C24766">
        <w:rPr>
          <w:rFonts w:eastAsia="Times New Roman"/>
          <w:i/>
          <w:color w:val="000000"/>
          <w:sz w:val="22"/>
          <w:szCs w:val="20"/>
        </w:rPr>
        <w:t>bear arms</w:t>
      </w:r>
      <w:r w:rsidRPr="00C24766">
        <w:rPr>
          <w:rFonts w:eastAsia="Times New Roman"/>
          <w:color w:val="000000"/>
          <w:sz w:val="22"/>
          <w:szCs w:val="20"/>
        </w:rPr>
        <w:t xml:space="preserve"> is not of that unqualified character.”</w:t>
      </w:r>
      <w:r w:rsidRPr="00C24766">
        <w:rPr>
          <w:rFonts w:eastAsia="Times New Roman"/>
          <w:color w:val="000000"/>
          <w:sz w:val="22"/>
          <w:vertAlign w:val="superscript"/>
        </w:rPr>
        <w:endnoteReference w:id="142"/>
      </w:r>
      <w:r w:rsidRPr="00C24766">
        <w:rPr>
          <w:rFonts w:eastAsia="Times New Roman"/>
          <w:color w:val="000000"/>
          <w:sz w:val="22"/>
          <w:vertAlign w:val="superscript"/>
        </w:rPr>
        <w:t>[142]</w:t>
      </w:r>
      <w:r w:rsidRPr="00C24766">
        <w:rPr>
          <w:rFonts w:eastAsia="Times New Roman"/>
          <w:color w:val="000000"/>
          <w:sz w:val="22"/>
          <w:szCs w:val="20"/>
        </w:rPr>
        <w:t xml:space="preserve"> </w:t>
      </w:r>
      <w:proofErr w:type="gramStart"/>
      <w:r w:rsidRPr="00C24766">
        <w:rPr>
          <w:rFonts w:eastAsia="Times New Roman"/>
          <w:color w:val="000000"/>
          <w:sz w:val="22"/>
          <w:szCs w:val="20"/>
        </w:rPr>
        <w:t>Thus</w:t>
      </w:r>
      <w:proofErr w:type="gramEnd"/>
      <w:r w:rsidRPr="00C24766">
        <w:rPr>
          <w:rFonts w:eastAsia="Times New Roman"/>
          <w:color w:val="000000"/>
          <w:sz w:val="22"/>
          <w:szCs w:val="20"/>
        </w:rPr>
        <w:t xml:space="preserve">, even with the most restrictive reading possible of the scope of “bear arms” and the purpose of the right to arms, all (law-abiding) citizens retain a right to keep arms. In 1866, a gun confiscation law was declared unconstitutional under the </w:t>
      </w:r>
      <w:smartTag w:uri="urn:schemas-microsoft-com:office:smarttags" w:element="State">
        <w:smartTag w:uri="urn:schemas-microsoft-com:office:smarttags" w:element="place">
          <w:r w:rsidRPr="00C24766">
            <w:rPr>
              <w:rFonts w:eastAsia="Times New Roman"/>
              <w:color w:val="000000"/>
              <w:sz w:val="22"/>
              <w:szCs w:val="20"/>
            </w:rPr>
            <w:t>Tennessee</w:t>
          </w:r>
        </w:smartTag>
      </w:smartTag>
      <w:r w:rsidRPr="00C24766">
        <w:rPr>
          <w:rFonts w:eastAsia="Times New Roman"/>
          <w:color w:val="000000"/>
          <w:sz w:val="22"/>
          <w:szCs w:val="20"/>
        </w:rPr>
        <w:t xml:space="preserve"> guarantee.</w:t>
      </w:r>
      <w:r w:rsidRPr="00C24766">
        <w:rPr>
          <w:rFonts w:eastAsia="Times New Roman"/>
          <w:color w:val="000000"/>
          <w:sz w:val="22"/>
          <w:vertAlign w:val="superscript"/>
        </w:rPr>
        <w:endnoteReference w:id="143"/>
      </w:r>
      <w:r w:rsidRPr="00C24766">
        <w:rPr>
          <w:rFonts w:eastAsia="Times New Roman"/>
          <w:color w:val="000000"/>
          <w:sz w:val="22"/>
          <w:vertAlign w:val="superscript"/>
        </w:rPr>
        <w:t>[143]</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lastRenderedPageBreak/>
        <w:t xml:space="preserve">In </w:t>
      </w:r>
      <w:r w:rsidRPr="00C24766">
        <w:rPr>
          <w:rFonts w:eastAsia="Times New Roman"/>
          <w:color w:val="000000"/>
          <w:vertAlign w:val="superscript"/>
        </w:rPr>
        <w:endnoteReference w:id="144"/>
      </w:r>
      <w:r w:rsidRPr="00C24766">
        <w:rPr>
          <w:rFonts w:eastAsia="Times New Roman"/>
          <w:color w:val="000000"/>
          <w:sz w:val="22"/>
          <w:vertAlign w:val="superscript"/>
        </w:rPr>
        <w:t>[144]</w:t>
      </w:r>
      <w:r w:rsidRPr="00C24766">
        <w:rPr>
          <w:rFonts w:eastAsia="Times New Roman"/>
          <w:color w:val="000000"/>
          <w:sz w:val="22"/>
          <w:szCs w:val="20"/>
        </w:rPr>
        <w:t xml:space="preserve"> the court expanded upon </w:t>
      </w:r>
      <w:proofErr w:type="spellStart"/>
      <w:r w:rsidRPr="00C24766">
        <w:rPr>
          <w:rFonts w:eastAsia="Times New Roman"/>
          <w:i/>
          <w:color w:val="000000"/>
          <w:sz w:val="22"/>
          <w:szCs w:val="20"/>
        </w:rPr>
        <w:t>Aymette</w:t>
      </w:r>
      <w:proofErr w:type="spellEnd"/>
      <w:r w:rsidRPr="00C24766">
        <w:rPr>
          <w:rFonts w:eastAsia="Times New Roman"/>
          <w:color w:val="000000"/>
          <w:sz w:val="22"/>
          <w:szCs w:val="20"/>
        </w:rPr>
        <w:t>. The court began by opining that the Tennessee Constitution and the Second Amendment, while not identically worded, had the same meaning.</w:t>
      </w:r>
      <w:r w:rsidRPr="00C24766">
        <w:rPr>
          <w:rFonts w:eastAsia="Times New Roman"/>
          <w:color w:val="000000"/>
          <w:sz w:val="22"/>
          <w:vertAlign w:val="superscript"/>
        </w:rPr>
        <w:endnoteReference w:id="145"/>
      </w:r>
      <w:r w:rsidRPr="00C24766">
        <w:rPr>
          <w:rFonts w:eastAsia="Times New Roman"/>
          <w:color w:val="000000"/>
          <w:sz w:val="22"/>
          <w:vertAlign w:val="superscript"/>
        </w:rPr>
        <w:t>[145]</w:t>
      </w:r>
      <w:r w:rsidRPr="00C24766">
        <w:rPr>
          <w:rFonts w:eastAsia="Times New Roman"/>
          <w:color w:val="000000"/>
          <w:sz w:val="22"/>
          <w:szCs w:val="20"/>
        </w:rPr>
        <w:t xml:space="preserve"> The </w:t>
      </w:r>
      <w:smartTag w:uri="urn:schemas-microsoft-com:office:smarttags" w:element="State">
        <w:smartTag w:uri="urn:schemas-microsoft-com:office:smarttags" w:element="place">
          <w:r w:rsidRPr="00C24766">
            <w:rPr>
              <w:rFonts w:eastAsia="Times New Roman"/>
              <w:color w:val="000000"/>
              <w:sz w:val="22"/>
              <w:szCs w:val="20"/>
            </w:rPr>
            <w:t>Tennessee</w:t>
          </w:r>
        </w:smartTag>
      </w:smartTag>
      <w:r w:rsidRPr="00C24766">
        <w:rPr>
          <w:rFonts w:eastAsia="Times New Roman"/>
          <w:color w:val="000000"/>
          <w:sz w:val="22"/>
          <w:szCs w:val="20"/>
        </w:rPr>
        <w:t xml:space="preserve"> court acknowledged that a militia purpose underlay the Tennessee Constitution and the Second Amendment, but this purpose was consistent with the right of ordinary citizens to use ordinary firearms for non-militia purposes.</w:t>
      </w:r>
    </w:p>
    <w:p w:rsidR="00C24766" w:rsidRPr="00C24766" w:rsidRDefault="00C24766" w:rsidP="00C24766">
      <w:pPr>
        <w:ind w:left="720" w:right="720"/>
        <w:jc w:val="both"/>
        <w:rPr>
          <w:rFonts w:eastAsia="Times New Roman"/>
          <w:color w:val="000000"/>
          <w:sz w:val="22"/>
          <w:szCs w:val="20"/>
        </w:rPr>
      </w:pPr>
      <w:r w:rsidRPr="00C24766">
        <w:rPr>
          <w:rFonts w:eastAsia="Times New Roman"/>
          <w:color w:val="000000"/>
          <w:sz w:val="22"/>
          <w:szCs w:val="20"/>
        </w:rPr>
        <w:t xml:space="preserve">The right to keep </w:t>
      </w:r>
      <w:proofErr w:type="gramStart"/>
      <w:r w:rsidRPr="00C24766">
        <w:rPr>
          <w:rFonts w:eastAsia="Times New Roman"/>
          <w:color w:val="000000"/>
          <w:sz w:val="22"/>
          <w:szCs w:val="20"/>
        </w:rPr>
        <w:t>arms,</w:t>
      </w:r>
      <w:proofErr w:type="gramEnd"/>
      <w:r w:rsidRPr="00C24766">
        <w:rPr>
          <w:rFonts w:eastAsia="Times New Roman"/>
          <w:color w:val="000000"/>
          <w:sz w:val="22"/>
          <w:szCs w:val="20"/>
        </w:rPr>
        <w:t xml:space="preserve"> necessarily involves the right to purchase them, to keep them in a state of efficiency for use, and to purchase and provide ammunition suitable for such arms, and to keep them in repair. And clearly for this purpose, a man would have the right to carry them to and from his home, and no one could claim that the Legislature had the right to punish him for it, without violating this clause of the Constitution.</w:t>
      </w:r>
    </w:p>
    <w:p w:rsidR="00C24766" w:rsidRPr="00C24766" w:rsidRDefault="00C24766" w:rsidP="00C24766">
      <w:pPr>
        <w:ind w:left="720" w:right="720"/>
        <w:jc w:val="both"/>
        <w:rPr>
          <w:rFonts w:eastAsia="Times New Roman"/>
          <w:color w:val="000000"/>
          <w:sz w:val="22"/>
          <w:szCs w:val="20"/>
        </w:rPr>
      </w:pPr>
      <w:r w:rsidRPr="00C24766">
        <w:rPr>
          <w:rFonts w:eastAsia="Times New Roman"/>
          <w:color w:val="000000"/>
          <w:sz w:val="22"/>
          <w:szCs w:val="20"/>
        </w:rPr>
        <w:t xml:space="preserve">But farther than this, it must be held, that the right to keep arms involves, necessarily, the right to use such arms for all the ordinary purposes, and in all the ordinary modes usual in the country, and to which arms are adapted, limited by the duties of a good citizen in times of </w:t>
      </w:r>
      <w:proofErr w:type="gramStart"/>
      <w:r w:rsidRPr="00C24766">
        <w:rPr>
          <w:rFonts w:eastAsia="Times New Roman"/>
          <w:color w:val="000000"/>
          <w:sz w:val="22"/>
          <w:szCs w:val="20"/>
        </w:rPr>
        <w:t>peace .</w:t>
      </w:r>
      <w:proofErr w:type="gramEnd"/>
      <w:r w:rsidRPr="00C24766">
        <w:rPr>
          <w:rFonts w:eastAsia="Times New Roman"/>
          <w:color w:val="000000"/>
          <w:sz w:val="22"/>
          <w:szCs w:val="20"/>
        </w:rPr>
        <w:t> . . </w:t>
      </w:r>
    </w:p>
    <w:p w:rsidR="00C24766" w:rsidRPr="00C24766" w:rsidRDefault="00C24766" w:rsidP="00C24766">
      <w:pPr>
        <w:ind w:left="720" w:right="720"/>
        <w:jc w:val="both"/>
        <w:rPr>
          <w:rFonts w:eastAsia="Times New Roman"/>
          <w:color w:val="000000"/>
          <w:sz w:val="22"/>
          <w:szCs w:val="20"/>
        </w:rPr>
      </w:pPr>
      <w:r w:rsidRPr="00C24766">
        <w:rPr>
          <w:rFonts w:eastAsia="Times New Roman"/>
          <w:color w:val="000000"/>
          <w:sz w:val="22"/>
          <w:szCs w:val="20"/>
        </w:rPr>
        <w:t xml:space="preserve">What, then, is he protected in the right to keep and thus use? Not </w:t>
      </w:r>
      <w:proofErr w:type="spellStart"/>
      <w:r w:rsidRPr="00C24766">
        <w:rPr>
          <w:rFonts w:eastAsia="Times New Roman"/>
          <w:color w:val="000000"/>
          <w:sz w:val="22"/>
          <w:szCs w:val="20"/>
        </w:rPr>
        <w:t>every thing</w:t>
      </w:r>
      <w:proofErr w:type="spellEnd"/>
      <w:r w:rsidRPr="00C24766">
        <w:rPr>
          <w:rFonts w:eastAsia="Times New Roman"/>
          <w:color w:val="000000"/>
          <w:sz w:val="22"/>
          <w:szCs w:val="20"/>
        </w:rPr>
        <w:t xml:space="preserve"> that may be useful for offense or defense; but what may properly be included or understood under the title of arms, taken in connection with the fact that the citizen is to keep them, as a </w:t>
      </w:r>
      <w:proofErr w:type="gramStart"/>
      <w:r w:rsidRPr="00C24766">
        <w:rPr>
          <w:rFonts w:eastAsia="Times New Roman"/>
          <w:color w:val="000000"/>
          <w:sz w:val="22"/>
          <w:szCs w:val="20"/>
        </w:rPr>
        <w:t>citizen</w:t>
      </w:r>
      <w:proofErr w:type="gramEnd"/>
      <w:r w:rsidRPr="00C24766">
        <w:rPr>
          <w:rFonts w:eastAsia="Times New Roman"/>
          <w:color w:val="000000"/>
          <w:sz w:val="22"/>
          <w:vertAlign w:val="superscript"/>
        </w:rPr>
        <w:endnoteReference w:id="146"/>
      </w:r>
      <w:r w:rsidRPr="00C24766">
        <w:rPr>
          <w:rFonts w:eastAsia="Times New Roman"/>
          <w:color w:val="000000"/>
          <w:sz w:val="22"/>
          <w:vertAlign w:val="superscript"/>
        </w:rPr>
        <w:t>[146]</w:t>
      </w:r>
      <w:r w:rsidRPr="00C24766">
        <w:rPr>
          <w:rFonts w:eastAsia="Times New Roman"/>
          <w:color w:val="000000"/>
          <w:sz w:val="22"/>
          <w:szCs w:val="20"/>
        </w:rPr>
        <w:t xml:space="preserve">. . . . [W]e would hold, that the rifle of all descriptions, the shot gun, the musket, and repeater, are such </w:t>
      </w:r>
      <w:proofErr w:type="gramStart"/>
      <w:r w:rsidRPr="00C24766">
        <w:rPr>
          <w:rFonts w:eastAsia="Times New Roman"/>
          <w:color w:val="000000"/>
          <w:sz w:val="22"/>
          <w:szCs w:val="20"/>
        </w:rPr>
        <w:t>arms .</w:t>
      </w:r>
      <w:proofErr w:type="gramEnd"/>
      <w:r w:rsidRPr="00C24766">
        <w:rPr>
          <w:rFonts w:eastAsia="Times New Roman"/>
          <w:color w:val="000000"/>
          <w:sz w:val="22"/>
          <w:szCs w:val="20"/>
        </w:rPr>
        <w:t xml:space="preserve"> . . . </w:t>
      </w:r>
      <w:r w:rsidRPr="00C24766">
        <w:rPr>
          <w:rFonts w:eastAsia="Times New Roman"/>
          <w:color w:val="000000"/>
          <w:sz w:val="22"/>
          <w:vertAlign w:val="superscript"/>
        </w:rPr>
        <w:endnoteReference w:id="147"/>
      </w:r>
      <w:r w:rsidRPr="00C24766">
        <w:rPr>
          <w:rFonts w:eastAsia="Times New Roman"/>
          <w:color w:val="000000"/>
          <w:sz w:val="22"/>
          <w:vertAlign w:val="superscript"/>
        </w:rPr>
        <w:t>[147]</w:t>
      </w:r>
    </w:p>
    <w:p w:rsidR="00C24766" w:rsidRPr="00C24766" w:rsidRDefault="00C24766" w:rsidP="00C24766">
      <w:pPr>
        <w:jc w:val="both"/>
        <w:rPr>
          <w:rFonts w:eastAsia="Times New Roman"/>
          <w:color w:val="000000"/>
        </w:rPr>
      </w:pPr>
      <w:r w:rsidRPr="00C24766">
        <w:rPr>
          <w:rFonts w:eastAsia="Times New Roman"/>
          <w:color w:val="000000"/>
          <w:sz w:val="22"/>
          <w:szCs w:val="22"/>
        </w:rPr>
        <w:t xml:space="preserve">    </w:t>
      </w:r>
      <w:r w:rsidRPr="00C24766">
        <w:rPr>
          <w:rFonts w:eastAsia="Times New Roman"/>
          <w:color w:val="000000"/>
          <w:sz w:val="22"/>
          <w:szCs w:val="20"/>
        </w:rPr>
        <w:t>Like some scholars of today, the Tennessee Attorney General recognized that the Tennessee Constitution and the Second Amendment have been more concerned with the balance of power in a free society than with individual protection against common criminals. Accordingly, the Attorney General argued that right to arms was a “political right.”</w:t>
      </w:r>
      <w:r w:rsidRPr="00C24766">
        <w:rPr>
          <w:rFonts w:eastAsia="Times New Roman"/>
          <w:color w:val="000000"/>
          <w:sz w:val="22"/>
          <w:vertAlign w:val="superscript"/>
        </w:rPr>
        <w:endnoteReference w:id="148"/>
      </w:r>
      <w:r w:rsidRPr="00C24766">
        <w:rPr>
          <w:rFonts w:eastAsia="Times New Roman"/>
          <w:color w:val="000000"/>
          <w:sz w:val="22"/>
          <w:vertAlign w:val="superscript"/>
        </w:rPr>
        <w:t>[148]</w:t>
      </w:r>
      <w:r w:rsidRPr="00C24766">
        <w:rPr>
          <w:rFonts w:eastAsia="Times New Roman"/>
          <w:color w:val="000000"/>
          <w:sz w:val="22"/>
          <w:szCs w:val="20"/>
        </w:rPr>
        <w:t xml:space="preserve"> </w:t>
      </w:r>
      <w:proofErr w:type="gramStart"/>
      <w:r w:rsidRPr="00C24766">
        <w:rPr>
          <w:rFonts w:eastAsia="Times New Roman"/>
          <w:color w:val="000000"/>
          <w:sz w:val="22"/>
          <w:szCs w:val="20"/>
        </w:rPr>
        <w:t>In</w:t>
      </w:r>
      <w:proofErr w:type="gramEnd"/>
      <w:r w:rsidRPr="00C24766">
        <w:rPr>
          <w:rFonts w:eastAsia="Times New Roman"/>
          <w:color w:val="000000"/>
          <w:sz w:val="22"/>
          <w:szCs w:val="20"/>
        </w:rPr>
        <w:t xml:space="preserve"> the legal discourse of 1870s, a “political right” could be restricted without limit by the political branch, the legislature, whereas a “civil right” was inviolate. The </w:t>
      </w:r>
      <w:smartTag w:uri="urn:schemas-microsoft-com:office:smarttags" w:element="State">
        <w:smartTag w:uri="urn:schemas-microsoft-com:office:smarttags" w:element="place">
          <w:r w:rsidRPr="00C24766">
            <w:rPr>
              <w:rFonts w:eastAsia="Times New Roman"/>
              <w:color w:val="000000"/>
              <w:sz w:val="22"/>
              <w:szCs w:val="20"/>
            </w:rPr>
            <w:t>Tennessee</w:t>
          </w:r>
        </w:smartTag>
      </w:smartTag>
      <w:r w:rsidRPr="00C24766">
        <w:rPr>
          <w:rFonts w:eastAsia="Times New Roman"/>
          <w:color w:val="000000"/>
          <w:sz w:val="22"/>
          <w:szCs w:val="20"/>
        </w:rPr>
        <w:t xml:space="preserve"> court wrote that the Attorney General: </w:t>
      </w:r>
    </w:p>
    <w:p w:rsidR="00C24766" w:rsidRPr="00C24766" w:rsidRDefault="00C24766" w:rsidP="00C24766">
      <w:pPr>
        <w:ind w:left="720" w:right="720"/>
        <w:jc w:val="both"/>
        <w:rPr>
          <w:rFonts w:eastAsia="Times New Roman"/>
          <w:color w:val="000000"/>
          <w:sz w:val="22"/>
          <w:szCs w:val="20"/>
        </w:rPr>
      </w:pPr>
      <w:proofErr w:type="gramStart"/>
      <w:r w:rsidRPr="00C24766">
        <w:rPr>
          <w:rFonts w:eastAsia="Times New Roman"/>
          <w:color w:val="000000"/>
          <w:sz w:val="22"/>
          <w:szCs w:val="20"/>
        </w:rPr>
        <w:t>fails</w:t>
      </w:r>
      <w:proofErr w:type="gramEnd"/>
      <w:r w:rsidRPr="00C24766">
        <w:rPr>
          <w:rFonts w:eastAsia="Times New Roman"/>
          <w:color w:val="000000"/>
          <w:sz w:val="22"/>
          <w:szCs w:val="20"/>
        </w:rPr>
        <w:t xml:space="preserve"> to distinguish between the nature of the right to keep, and its necessary incidents, and the right to bear arms for the common defense. Bearing arms for the common defense may well be held to be a political right, or for protection and maintenance of such rights, intended to be guaranteed; but the right to </w:t>
      </w:r>
      <w:r w:rsidRPr="00C24766">
        <w:rPr>
          <w:rFonts w:eastAsia="Times New Roman"/>
          <w:i/>
          <w:color w:val="000000"/>
          <w:sz w:val="22"/>
          <w:szCs w:val="20"/>
        </w:rPr>
        <w:t xml:space="preserve">keep </w:t>
      </w:r>
      <w:r w:rsidRPr="00C24766">
        <w:rPr>
          <w:rFonts w:eastAsia="Times New Roman"/>
          <w:color w:val="000000"/>
          <w:sz w:val="22"/>
          <w:szCs w:val="20"/>
        </w:rPr>
        <w:t>them, with all that is implied fairly as an incident to this right, is a private individual right, guaranteed to the citizen, not the soldier.</w:t>
      </w:r>
      <w:r w:rsidRPr="00C24766">
        <w:rPr>
          <w:rFonts w:eastAsia="Times New Roman"/>
          <w:color w:val="000000"/>
          <w:sz w:val="22"/>
          <w:vertAlign w:val="superscript"/>
        </w:rPr>
        <w:endnoteReference w:id="149"/>
      </w:r>
      <w:r w:rsidRPr="00C24766">
        <w:rPr>
          <w:rFonts w:eastAsia="Times New Roman"/>
          <w:color w:val="000000"/>
          <w:sz w:val="22"/>
          <w:vertAlign w:val="superscript"/>
        </w:rPr>
        <w:t>[149]</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2"/>
        </w:rPr>
        <w:t xml:space="preserve">    </w:t>
      </w:r>
      <w:r w:rsidRPr="00C24766">
        <w:rPr>
          <w:rFonts w:eastAsia="Times New Roman"/>
          <w:color w:val="000000"/>
          <w:sz w:val="22"/>
          <w:szCs w:val="20"/>
        </w:rPr>
        <w:t xml:space="preserve">Accordingly, even when “bear arms” is read in its narrowest sense, as the </w:t>
      </w:r>
      <w:smartTag w:uri="urn:schemas-microsoft-com:office:smarttags" w:element="State">
        <w:smartTag w:uri="urn:schemas-microsoft-com:office:smarttags" w:element="place">
          <w:r w:rsidRPr="00C24766">
            <w:rPr>
              <w:rFonts w:eastAsia="Times New Roman"/>
              <w:color w:val="000000"/>
              <w:sz w:val="22"/>
              <w:szCs w:val="20"/>
            </w:rPr>
            <w:t>Tennessee</w:t>
          </w:r>
        </w:smartTag>
      </w:smartTag>
      <w:r w:rsidRPr="00C24766">
        <w:rPr>
          <w:rFonts w:eastAsia="Times New Roman"/>
          <w:color w:val="000000"/>
          <w:sz w:val="22"/>
          <w:szCs w:val="20"/>
        </w:rPr>
        <w:t xml:space="preserve"> courts did, there is no parallel constrictive reading of the right to “keep” arms. The latter right is undeniably an individual civil right.</w:t>
      </w:r>
      <w:r w:rsidRPr="00C24766">
        <w:rPr>
          <w:rFonts w:eastAsia="Times New Roman"/>
          <w:color w:val="000000"/>
          <w:sz w:val="22"/>
          <w:vertAlign w:val="superscript"/>
        </w:rPr>
        <w:endnoteReference w:id="150"/>
      </w:r>
      <w:r w:rsidRPr="00C24766">
        <w:rPr>
          <w:rFonts w:eastAsia="Times New Roman"/>
          <w:color w:val="000000"/>
          <w:sz w:val="22"/>
          <w:vertAlign w:val="superscript"/>
        </w:rPr>
        <w:t>[150]</w:t>
      </w:r>
    </w:p>
    <w:p w:rsidR="00C24766" w:rsidRPr="00C24766" w:rsidRDefault="00C24766" w:rsidP="00C24766">
      <w:pPr>
        <w:jc w:val="both"/>
        <w:rPr>
          <w:rFonts w:eastAsia="Times New Roman"/>
          <w:color w:val="000000"/>
          <w:sz w:val="22"/>
        </w:rPr>
      </w:pPr>
      <w:r w:rsidRPr="00C24766">
        <w:rPr>
          <w:rFonts w:eastAsia="Times New Roman"/>
          <w:b/>
          <w:color w:val="000000"/>
          <w:sz w:val="22"/>
        </w:rPr>
        <w:t>Texas:</w:t>
      </w:r>
      <w:r w:rsidRPr="00C24766">
        <w:rPr>
          <w:rFonts w:eastAsia="Times New Roman"/>
          <w:color w:val="000000"/>
          <w:sz w:val="22"/>
        </w:rPr>
        <w:t>  “Every citizen shall have the right to keep and bear arms in the lawful defense of himself or the State; but the Legislature shall have power, by law, to regulate the wearing of arms, with a view to prevent crime.”</w:t>
      </w:r>
      <w:r w:rsidRPr="00C24766">
        <w:rPr>
          <w:rFonts w:eastAsia="Times New Roman"/>
          <w:color w:val="000000"/>
          <w:sz w:val="22"/>
          <w:vertAlign w:val="superscript"/>
        </w:rPr>
        <w:endnoteReference w:id="151"/>
      </w:r>
      <w:r w:rsidRPr="00C24766">
        <w:rPr>
          <w:rFonts w:eastAsia="Times New Roman"/>
          <w:color w:val="000000"/>
          <w:sz w:val="22"/>
          <w:vertAlign w:val="superscript"/>
        </w:rPr>
        <w:t>[151</w:t>
      </w:r>
      <w:proofErr w:type="gramStart"/>
      <w:r w:rsidRPr="00C24766">
        <w:rPr>
          <w:rFonts w:eastAsia="Times New Roman"/>
          <w:color w:val="000000"/>
          <w:sz w:val="22"/>
          <w:vertAlign w:val="superscript"/>
        </w:rPr>
        <w:t>]</w:t>
      </w:r>
      <w:r w:rsidRPr="00C24766">
        <w:rPr>
          <w:rFonts w:eastAsia="Times New Roman"/>
          <w:color w:val="000000"/>
          <w:sz w:val="22"/>
        </w:rPr>
        <w:t xml:space="preserve">  Like</w:t>
      </w:r>
      <w:proofErr w:type="gramEnd"/>
      <w:r w:rsidRPr="00C24766">
        <w:rPr>
          <w:rFonts w:eastAsia="Times New Roman"/>
          <w:color w:val="000000"/>
          <w:sz w:val="22"/>
        </w:rPr>
        <w:t xml:space="preserve"> many other states, </w:t>
      </w:r>
      <w:smartTag w:uri="urn:schemas-microsoft-com:office:smarttags" w:element="State">
        <w:smartTag w:uri="urn:schemas-microsoft-com:office:smarttags" w:element="place">
          <w:r w:rsidRPr="00C24766">
            <w:rPr>
              <w:rFonts w:eastAsia="Times New Roman"/>
              <w:color w:val="000000"/>
              <w:sz w:val="22"/>
            </w:rPr>
            <w:t>Texas</w:t>
          </w:r>
        </w:smartTag>
      </w:smartTag>
      <w:r w:rsidRPr="00C24766">
        <w:rPr>
          <w:rFonts w:eastAsia="Times New Roman"/>
          <w:color w:val="000000"/>
          <w:sz w:val="22"/>
        </w:rPr>
        <w:t xml:space="preserve"> allows strict controls on concealed carrying, but not denial of the right itself. An early case decided under the </w:t>
      </w:r>
      <w:smartTag w:uri="urn:schemas-microsoft-com:office:smarttags" w:element="State">
        <w:smartTag w:uri="urn:schemas-microsoft-com:office:smarttags" w:element="place">
          <w:r w:rsidRPr="00C24766">
            <w:rPr>
              <w:rFonts w:eastAsia="Times New Roman"/>
              <w:color w:val="000000"/>
              <w:sz w:val="22"/>
            </w:rPr>
            <w:t>Texas</w:t>
          </w:r>
        </w:smartTag>
      </w:smartTag>
      <w:r w:rsidRPr="00C24766">
        <w:rPr>
          <w:rFonts w:eastAsia="Times New Roman"/>
          <w:color w:val="000000"/>
          <w:sz w:val="22"/>
        </w:rPr>
        <w:t xml:space="preserve"> guarantee, </w:t>
      </w:r>
      <w:r w:rsidRPr="00C24766">
        <w:rPr>
          <w:rFonts w:eastAsia="Times New Roman"/>
          <w:i/>
          <w:color w:val="000000"/>
          <w:sz w:val="22"/>
        </w:rPr>
        <w:t>Jennings v. State</w:t>
      </w:r>
      <w:r w:rsidRPr="00C24766">
        <w:rPr>
          <w:rFonts w:eastAsia="Times New Roman"/>
          <w:color w:val="000000"/>
          <w:sz w:val="22"/>
        </w:rPr>
        <w:t>, struck down a statute requiring forfeiture of pistol after misdemeanor conviction.</w:t>
      </w:r>
      <w:r w:rsidRPr="00C24766">
        <w:rPr>
          <w:rFonts w:eastAsia="Times New Roman"/>
          <w:color w:val="000000"/>
          <w:sz w:val="22"/>
          <w:vertAlign w:val="superscript"/>
        </w:rPr>
        <w:endnoteReference w:id="152"/>
      </w:r>
      <w:r w:rsidRPr="00C24766">
        <w:rPr>
          <w:rFonts w:eastAsia="Times New Roman"/>
          <w:color w:val="000000"/>
          <w:sz w:val="22"/>
          <w:vertAlign w:val="superscript"/>
        </w:rPr>
        <w:t>[152]</w:t>
      </w:r>
      <w:r w:rsidRPr="00C24766">
        <w:rPr>
          <w:rFonts w:eastAsia="Times New Roman"/>
          <w:color w:val="000000"/>
          <w:sz w:val="22"/>
        </w:rPr>
        <w:t xml:space="preserve">   </w:t>
      </w:r>
    </w:p>
    <w:p w:rsidR="00C24766" w:rsidRPr="00C24766" w:rsidRDefault="00C24766" w:rsidP="00C24766">
      <w:pPr>
        <w:jc w:val="both"/>
        <w:rPr>
          <w:rFonts w:eastAsia="Times New Roman"/>
          <w:color w:val="000000"/>
          <w:sz w:val="22"/>
        </w:rPr>
      </w:pPr>
      <w:smartTag w:uri="urn:schemas-microsoft-com:office:smarttags" w:element="State">
        <w:smartTag w:uri="urn:schemas-microsoft-com:office:smarttags" w:element="place">
          <w:r w:rsidRPr="00C24766">
            <w:rPr>
              <w:rFonts w:eastAsia="Times New Roman"/>
              <w:b/>
              <w:color w:val="000000"/>
              <w:sz w:val="22"/>
            </w:rPr>
            <w:t>Utah</w:t>
          </w:r>
        </w:smartTag>
      </w:smartTag>
      <w:r w:rsidRPr="00C24766">
        <w:rPr>
          <w:rFonts w:eastAsia="Times New Roman"/>
          <w:b/>
          <w:color w:val="000000"/>
          <w:sz w:val="22"/>
        </w:rPr>
        <w:t>:</w:t>
      </w:r>
      <w:r w:rsidRPr="00C24766">
        <w:rPr>
          <w:rFonts w:eastAsia="Times New Roman"/>
          <w:color w:val="000000"/>
          <w:sz w:val="22"/>
        </w:rPr>
        <w:t>  The 1896 Utah Constitution stated: “The people have the right to bear arms for their security and defense, but the legislature may regulate the exercise of this right by law.”</w:t>
      </w:r>
      <w:r w:rsidRPr="00C24766">
        <w:rPr>
          <w:rFonts w:eastAsia="Times New Roman"/>
          <w:color w:val="000000"/>
          <w:sz w:val="22"/>
          <w:vertAlign w:val="superscript"/>
        </w:rPr>
        <w:endnoteReference w:id="153"/>
      </w:r>
      <w:r w:rsidRPr="00C24766">
        <w:rPr>
          <w:rFonts w:eastAsia="Times New Roman"/>
          <w:color w:val="000000"/>
          <w:sz w:val="22"/>
          <w:vertAlign w:val="superscript"/>
        </w:rPr>
        <w:t>[153]</w:t>
      </w:r>
      <w:r w:rsidRPr="00C24766">
        <w:rPr>
          <w:rFonts w:eastAsia="Times New Roman"/>
          <w:color w:val="000000"/>
          <w:sz w:val="22"/>
        </w:rPr>
        <w:t xml:space="preserve"> </w:t>
      </w:r>
      <w:proofErr w:type="gramStart"/>
      <w:r w:rsidRPr="00C24766">
        <w:rPr>
          <w:rFonts w:eastAsia="Times New Roman"/>
          <w:color w:val="000000"/>
          <w:sz w:val="22"/>
        </w:rPr>
        <w:t>In</w:t>
      </w:r>
      <w:proofErr w:type="gramEnd"/>
      <w:r w:rsidRPr="00C24766">
        <w:rPr>
          <w:rFonts w:eastAsia="Times New Roman"/>
          <w:color w:val="000000"/>
          <w:sz w:val="22"/>
        </w:rPr>
        <w:t xml:space="preserve"> 1984, the people of </w:t>
      </w:r>
      <w:smartTag w:uri="urn:schemas-microsoft-com:office:smarttags" w:element="State">
        <w:smartTag w:uri="urn:schemas-microsoft-com:office:smarttags" w:element="place">
          <w:r w:rsidRPr="00C24766">
            <w:rPr>
              <w:rFonts w:eastAsia="Times New Roman"/>
              <w:color w:val="000000"/>
              <w:sz w:val="22"/>
            </w:rPr>
            <w:t>Utah</w:t>
          </w:r>
        </w:smartTag>
      </w:smartTag>
      <w:r w:rsidRPr="00C24766">
        <w:rPr>
          <w:rFonts w:eastAsia="Times New Roman"/>
          <w:color w:val="000000"/>
          <w:sz w:val="22"/>
        </w:rPr>
        <w:t xml:space="preserve"> adopted a new provision, strengthening the right.</w:t>
      </w:r>
      <w:r w:rsidRPr="00C24766">
        <w:rPr>
          <w:rFonts w:eastAsia="Times New Roman"/>
          <w:color w:val="000000"/>
          <w:sz w:val="22"/>
          <w:vertAlign w:val="superscript"/>
        </w:rPr>
        <w:endnoteReference w:id="154"/>
      </w:r>
      <w:r w:rsidRPr="00C24766">
        <w:rPr>
          <w:rFonts w:eastAsia="Times New Roman"/>
          <w:color w:val="000000"/>
          <w:sz w:val="22"/>
          <w:vertAlign w:val="superscript"/>
        </w:rPr>
        <w:t>[154]</w:t>
      </w:r>
      <w:r w:rsidRPr="00C24766">
        <w:rPr>
          <w:rFonts w:eastAsia="Times New Roman"/>
          <w:color w:val="000000"/>
          <w:sz w:val="22"/>
        </w:rPr>
        <w:t xml:space="preserve"> “The people” was replaced by “The individual right of the people,” apparently to forestall the kind of “collective rights” misreading which, in 1984, was often applied to the Second Amendment. The purposes of the right were broadened to all “other lawful purposes.” And the legislature was no longer allowed to regulate “the exercise” of the right, but only to define “the lawful use of arms.”</w:t>
      </w:r>
      <w:r w:rsidRPr="00C24766">
        <w:rPr>
          <w:rFonts w:eastAsia="Times New Roman"/>
          <w:color w:val="000000"/>
          <w:sz w:val="22"/>
          <w:vertAlign w:val="superscript"/>
        </w:rPr>
        <w:endnoteReference w:id="155"/>
      </w:r>
      <w:r w:rsidRPr="00C24766">
        <w:rPr>
          <w:rFonts w:eastAsia="Times New Roman"/>
          <w:color w:val="000000"/>
          <w:sz w:val="22"/>
          <w:vertAlign w:val="superscript"/>
        </w:rPr>
        <w:t>[155]</w:t>
      </w:r>
    </w:p>
    <w:p w:rsidR="00C24766" w:rsidRPr="00C24766" w:rsidRDefault="00C24766" w:rsidP="00C24766">
      <w:pPr>
        <w:jc w:val="both"/>
        <w:rPr>
          <w:rFonts w:eastAsia="Times New Roman"/>
          <w:color w:val="000000"/>
          <w:sz w:val="22"/>
        </w:rPr>
      </w:pPr>
      <w:smartTag w:uri="urn:schemas-microsoft-com:office:smarttags" w:element="State">
        <w:smartTag w:uri="urn:schemas-microsoft-com:office:smarttags" w:element="place">
          <w:r w:rsidRPr="00C24766">
            <w:rPr>
              <w:rFonts w:eastAsia="Times New Roman"/>
              <w:b/>
              <w:color w:val="000000"/>
              <w:sz w:val="22"/>
            </w:rPr>
            <w:t>Virginia</w:t>
          </w:r>
        </w:smartTag>
      </w:smartTag>
      <w:r w:rsidRPr="00C24766">
        <w:rPr>
          <w:rFonts w:eastAsia="Times New Roman"/>
          <w:b/>
          <w:color w:val="000000"/>
          <w:sz w:val="22"/>
        </w:rPr>
        <w:t>:</w:t>
      </w:r>
      <w:r w:rsidRPr="00C24766">
        <w:rPr>
          <w:rFonts w:eastAsia="Times New Roman"/>
          <w:color w:val="000000"/>
          <w:sz w:val="22"/>
        </w:rPr>
        <w:t xml:space="preserve">  </w:t>
      </w:r>
      <w:smartTag w:uri="urn:schemas-microsoft-com:office:smarttags" w:element="State">
        <w:smartTag w:uri="urn:schemas-microsoft-com:office:smarttags" w:element="place">
          <w:r w:rsidRPr="00C24766">
            <w:rPr>
              <w:rFonts w:eastAsia="Times New Roman"/>
              <w:color w:val="000000"/>
              <w:sz w:val="22"/>
            </w:rPr>
            <w:t>Virginia</w:t>
          </w:r>
        </w:smartTag>
      </w:smartTag>
      <w:r w:rsidRPr="00C24766">
        <w:rPr>
          <w:rFonts w:eastAsia="Times New Roman"/>
          <w:color w:val="000000"/>
          <w:sz w:val="22"/>
        </w:rPr>
        <w:t>’s 1776 constitution extolled the militia and denounced standing armies.</w:t>
      </w:r>
      <w:r w:rsidRPr="00C24766">
        <w:rPr>
          <w:rFonts w:eastAsia="Times New Roman"/>
          <w:color w:val="000000"/>
          <w:sz w:val="22"/>
          <w:vertAlign w:val="superscript"/>
        </w:rPr>
        <w:endnoteReference w:id="156"/>
      </w:r>
      <w:r w:rsidRPr="00C24766">
        <w:rPr>
          <w:rFonts w:eastAsia="Times New Roman"/>
          <w:color w:val="000000"/>
          <w:sz w:val="22"/>
          <w:vertAlign w:val="superscript"/>
        </w:rPr>
        <w:t>[156]</w:t>
      </w:r>
      <w:r w:rsidRPr="00C24766">
        <w:rPr>
          <w:rFonts w:eastAsia="Times New Roman"/>
          <w:color w:val="000000"/>
          <w:sz w:val="22"/>
        </w:rPr>
        <w:t xml:space="preserve"> “That a well regulated militia, composed of the body of the people, trained to arms, is the proper, natural, and safe defense of a free state; that standing armies, in time of peace, should be avoided as dangerous to liberty; and that in all cases the military should be under strict subordination to, and governed by, the civil power.”</w:t>
      </w:r>
      <w:r w:rsidRPr="00C24766">
        <w:rPr>
          <w:rFonts w:eastAsia="Times New Roman"/>
          <w:color w:val="000000"/>
          <w:sz w:val="22"/>
          <w:vertAlign w:val="superscript"/>
        </w:rPr>
        <w:endnoteReference w:id="157"/>
      </w:r>
      <w:r w:rsidRPr="00C24766">
        <w:rPr>
          <w:rFonts w:eastAsia="Times New Roman"/>
          <w:color w:val="000000"/>
          <w:sz w:val="22"/>
          <w:vertAlign w:val="superscript"/>
        </w:rPr>
        <w:t>[157]</w:t>
      </w:r>
      <w:r w:rsidRPr="00C24766">
        <w:rPr>
          <w:rFonts w:eastAsia="Times New Roman"/>
          <w:color w:val="000000"/>
          <w:sz w:val="22"/>
        </w:rPr>
        <w:t xml:space="preserve"> </w:t>
      </w:r>
      <w:proofErr w:type="gramStart"/>
      <w:r w:rsidRPr="00C24766">
        <w:rPr>
          <w:rFonts w:eastAsia="Times New Roman"/>
          <w:color w:val="000000"/>
          <w:sz w:val="22"/>
        </w:rPr>
        <w:t>The</w:t>
      </w:r>
      <w:proofErr w:type="gramEnd"/>
      <w:r w:rsidRPr="00C24766">
        <w:rPr>
          <w:rFonts w:eastAsia="Times New Roman"/>
          <w:color w:val="000000"/>
          <w:sz w:val="22"/>
        </w:rPr>
        <w:t xml:space="preserve"> militia part of this provision contributed language which, in more concise form, became the first part of the Second Amendment.</w:t>
      </w:r>
    </w:p>
    <w:p w:rsidR="00C24766" w:rsidRPr="00C24766" w:rsidRDefault="00C24766" w:rsidP="00C24766">
      <w:pPr>
        <w:ind w:firstLine="720"/>
        <w:jc w:val="both"/>
        <w:rPr>
          <w:rFonts w:eastAsia="Times New Roman"/>
          <w:color w:val="000000"/>
          <w:sz w:val="22"/>
        </w:rPr>
      </w:pPr>
      <w:r w:rsidRPr="00C24766">
        <w:rPr>
          <w:rFonts w:eastAsia="Times New Roman"/>
          <w:color w:val="000000"/>
          <w:sz w:val="22"/>
        </w:rPr>
        <w:t xml:space="preserve">In 1971, the people of </w:t>
      </w:r>
      <w:smartTag w:uri="urn:schemas-microsoft-com:office:smarttags" w:element="State">
        <w:smartTag w:uri="urn:schemas-microsoft-com:office:smarttags" w:element="place">
          <w:r w:rsidRPr="00C24766">
            <w:rPr>
              <w:rFonts w:eastAsia="Times New Roman"/>
              <w:color w:val="000000"/>
              <w:sz w:val="22"/>
            </w:rPr>
            <w:t>Virginia</w:t>
          </w:r>
        </w:smartTag>
      </w:smartTag>
      <w:r w:rsidRPr="00C24766">
        <w:rPr>
          <w:rFonts w:eastAsia="Times New Roman"/>
          <w:color w:val="000000"/>
          <w:sz w:val="22"/>
        </w:rPr>
        <w:t xml:space="preserve"> sought explicit protection of their individual right to arms, and so a clause was added after “safe defense of a </w:t>
      </w:r>
      <w:smartTag w:uri="urn:schemas-microsoft-com:office:smarttags" w:element="State">
        <w:smartTag w:uri="urn:schemas-microsoft-com:office:smarttags" w:element="place">
          <w:r w:rsidRPr="00C24766">
            <w:rPr>
              <w:rFonts w:eastAsia="Times New Roman"/>
              <w:color w:val="000000"/>
              <w:sz w:val="22"/>
            </w:rPr>
            <w:t>free state</w:t>
          </w:r>
        </w:smartTag>
      </w:smartTag>
      <w:r w:rsidRPr="00C24766">
        <w:rPr>
          <w:rFonts w:eastAsia="Times New Roman"/>
          <w:color w:val="000000"/>
          <w:sz w:val="22"/>
        </w:rPr>
        <w:t>.”</w:t>
      </w:r>
      <w:r w:rsidRPr="00C24766">
        <w:rPr>
          <w:rFonts w:eastAsia="Times New Roman"/>
          <w:color w:val="000000"/>
          <w:sz w:val="22"/>
          <w:vertAlign w:val="superscript"/>
        </w:rPr>
        <w:endnoteReference w:id="158"/>
      </w:r>
      <w:r w:rsidRPr="00C24766">
        <w:rPr>
          <w:rFonts w:eastAsia="Times New Roman"/>
          <w:color w:val="000000"/>
          <w:sz w:val="22"/>
          <w:vertAlign w:val="superscript"/>
        </w:rPr>
        <w:t>[158]</w:t>
      </w:r>
      <w:r w:rsidRPr="00C24766">
        <w:rPr>
          <w:rFonts w:eastAsia="Times New Roman"/>
          <w:color w:val="000000"/>
          <w:sz w:val="22"/>
        </w:rPr>
        <w:t xml:space="preserve"> </w:t>
      </w:r>
      <w:proofErr w:type="gramStart"/>
      <w:r w:rsidRPr="00C24766">
        <w:rPr>
          <w:rFonts w:eastAsia="Times New Roman"/>
          <w:color w:val="000000"/>
          <w:sz w:val="22"/>
        </w:rPr>
        <w:t>The</w:t>
      </w:r>
      <w:proofErr w:type="gramEnd"/>
      <w:r w:rsidRPr="00C24766">
        <w:rPr>
          <w:rFonts w:eastAsia="Times New Roman"/>
          <w:color w:val="000000"/>
          <w:sz w:val="22"/>
        </w:rPr>
        <w:t xml:space="preserve"> clause read: “therefore, the right to keep and bear arms shall not be infringed.”</w:t>
      </w:r>
      <w:r w:rsidRPr="00C24766">
        <w:rPr>
          <w:rFonts w:eastAsia="Times New Roman"/>
          <w:color w:val="000000"/>
          <w:sz w:val="22"/>
          <w:vertAlign w:val="superscript"/>
        </w:rPr>
        <w:footnoteRef/>
      </w:r>
      <w:r w:rsidRPr="00C24766">
        <w:rPr>
          <w:rFonts w:eastAsia="Times New Roman"/>
          <w:color w:val="000000"/>
          <w:sz w:val="22"/>
          <w:vertAlign w:val="superscript"/>
        </w:rPr>
        <w:endnoteReference w:customMarkFollows="1" w:id="159"/>
        <w:t>[159]</w:t>
      </w:r>
    </w:p>
    <w:p w:rsidR="00C24766" w:rsidRPr="00C24766" w:rsidRDefault="00C24766" w:rsidP="00C24766">
      <w:pPr>
        <w:ind w:firstLine="720"/>
        <w:jc w:val="both"/>
        <w:rPr>
          <w:rFonts w:eastAsia="Times New Roman"/>
          <w:color w:val="000000"/>
          <w:sz w:val="22"/>
        </w:rPr>
      </w:pPr>
      <w:r w:rsidRPr="00C24766">
        <w:rPr>
          <w:rFonts w:eastAsia="Times New Roman"/>
          <w:color w:val="000000"/>
          <w:sz w:val="22"/>
        </w:rPr>
        <w:lastRenderedPageBreak/>
        <w:t xml:space="preserve">Some scholars read the Second Amendment as if it contains only the first clause, concerning the militia. Yet this misreading ignores the fact that when Virginians wanted to add an explicit individual right to their state constitution, they added the main clause of the Second Amendment. </w:t>
      </w:r>
    </w:p>
    <w:p w:rsidR="00C24766" w:rsidRPr="00C24766" w:rsidRDefault="00C24766" w:rsidP="00C24766">
      <w:pPr>
        <w:jc w:val="both"/>
        <w:rPr>
          <w:rFonts w:eastAsia="Times New Roman"/>
          <w:b/>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West Virginia</w:t>
          </w:r>
        </w:smartTag>
      </w:smartTag>
      <w:r w:rsidRPr="00C24766">
        <w:rPr>
          <w:rFonts w:eastAsia="Times New Roman"/>
          <w:b/>
          <w:color w:val="000000"/>
          <w:sz w:val="22"/>
          <w:szCs w:val="20"/>
        </w:rPr>
        <w:t xml:space="preserve"> and </w:t>
      </w:r>
      <w:smartTag w:uri="urn:schemas-microsoft-com:office:smarttags" w:element="State">
        <w:smartTag w:uri="urn:schemas-microsoft-com:office:smarttags" w:element="place">
          <w:r w:rsidRPr="00C24766">
            <w:rPr>
              <w:rFonts w:eastAsia="Times New Roman"/>
              <w:b/>
              <w:color w:val="000000"/>
              <w:sz w:val="22"/>
              <w:szCs w:val="20"/>
            </w:rPr>
            <w:t>Wisconsin</w:t>
          </w:r>
        </w:smartTag>
      </w:smartTag>
      <w:r w:rsidRPr="00C24766">
        <w:rPr>
          <w:rFonts w:eastAsia="Times New Roman"/>
          <w:b/>
          <w:color w:val="000000"/>
          <w:sz w:val="22"/>
          <w:szCs w:val="20"/>
        </w:rPr>
        <w:t>:</w:t>
      </w:r>
      <w:r w:rsidRPr="00C24766">
        <w:rPr>
          <w:rFonts w:eastAsia="Times New Roman"/>
          <w:color w:val="000000"/>
          <w:sz w:val="22"/>
          <w:szCs w:val="20"/>
        </w:rPr>
        <w:t xml:space="preserve"> The </w:t>
      </w:r>
      <w:smartTag w:uri="urn:schemas-microsoft-com:office:smarttags" w:element="State">
        <w:smartTag w:uri="urn:schemas-microsoft-com:office:smarttags" w:element="place">
          <w:r w:rsidRPr="00C24766">
            <w:rPr>
              <w:rFonts w:eastAsia="Times New Roman"/>
              <w:color w:val="000000"/>
              <w:sz w:val="22"/>
              <w:szCs w:val="20"/>
            </w:rPr>
            <w:t>West Virginia</w:t>
          </w:r>
        </w:smartTag>
      </w:smartTag>
      <w:r w:rsidRPr="00C24766">
        <w:rPr>
          <w:rFonts w:eastAsia="Times New Roman"/>
          <w:color w:val="000000"/>
          <w:sz w:val="22"/>
          <w:szCs w:val="20"/>
        </w:rPr>
        <w:t xml:space="preserve"> provision, adopted in 1986, states: “A person has the right to keep and bear arms for the defense of self, family, home and state, and for lawful hunting and recreational use.”</w:t>
      </w:r>
      <w:r w:rsidRPr="00C24766">
        <w:rPr>
          <w:rFonts w:eastAsia="Times New Roman"/>
          <w:color w:val="000000"/>
          <w:sz w:val="22"/>
          <w:vertAlign w:val="superscript"/>
        </w:rPr>
        <w:endnoteReference w:id="160"/>
      </w:r>
      <w:r w:rsidRPr="00C24766">
        <w:rPr>
          <w:rFonts w:eastAsia="Times New Roman"/>
          <w:color w:val="000000"/>
          <w:sz w:val="22"/>
          <w:vertAlign w:val="superscript"/>
        </w:rPr>
        <w:t>[160]</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Wisconsin</w:t>
          </w:r>
        </w:smartTag>
      </w:smartTag>
      <w:r w:rsidRPr="00C24766">
        <w:rPr>
          <w:rFonts w:eastAsia="Times New Roman"/>
          <w:color w:val="000000"/>
          <w:sz w:val="22"/>
          <w:szCs w:val="20"/>
        </w:rPr>
        <w:t>’s provision, adopted in 1998, states: “The people have the right to keep and bear arms for security, defense, hunting, recreation or any other lawful purpose.”</w:t>
      </w:r>
      <w:r w:rsidRPr="00C24766">
        <w:rPr>
          <w:rFonts w:eastAsia="Times New Roman"/>
          <w:color w:val="000000"/>
          <w:sz w:val="22"/>
          <w:vertAlign w:val="superscript"/>
        </w:rPr>
        <w:footnoteRef/>
      </w:r>
      <w:r w:rsidRPr="00C24766">
        <w:rPr>
          <w:rFonts w:eastAsia="Times New Roman"/>
          <w:color w:val="000000"/>
          <w:sz w:val="22"/>
          <w:vertAlign w:val="superscript"/>
        </w:rPr>
        <w:endnoteReference w:customMarkFollows="1" w:id="161"/>
        <w:t>[161]</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The voters </w:t>
      </w:r>
      <w:proofErr w:type="gramStart"/>
      <w:r w:rsidRPr="00C24766">
        <w:rPr>
          <w:rFonts w:eastAsia="Times New Roman"/>
          <w:color w:val="000000"/>
          <w:sz w:val="22"/>
          <w:szCs w:val="20"/>
        </w:rPr>
        <w:t xml:space="preserve">of  </w:t>
      </w:r>
      <w:smartTag w:uri="urn:schemas-microsoft-com:office:smarttags" w:element="State">
        <w:smartTag w:uri="urn:schemas-microsoft-com:office:smarttags" w:element="place">
          <w:r w:rsidRPr="00C24766">
            <w:rPr>
              <w:rFonts w:eastAsia="Times New Roman"/>
              <w:color w:val="000000"/>
              <w:sz w:val="22"/>
              <w:szCs w:val="20"/>
            </w:rPr>
            <w:t>Wisconsin</w:t>
          </w:r>
        </w:smartTag>
      </w:smartTag>
      <w:proofErr w:type="gramEnd"/>
      <w:r w:rsidRPr="00C24766">
        <w:rPr>
          <w:rFonts w:eastAsia="Times New Roman"/>
          <w:color w:val="000000"/>
          <w:sz w:val="22"/>
          <w:szCs w:val="20"/>
        </w:rPr>
        <w:t xml:space="preserve">  adopted a guarantee by a vote of 1,161,942 to 412,508.</w:t>
      </w:r>
      <w:r w:rsidRPr="00C24766">
        <w:rPr>
          <w:rFonts w:eastAsia="Times New Roman"/>
          <w:color w:val="000000"/>
          <w:sz w:val="22"/>
          <w:vertAlign w:val="superscript"/>
        </w:rPr>
        <w:endnoteReference w:id="162"/>
      </w:r>
      <w:r w:rsidRPr="00C24766">
        <w:rPr>
          <w:rFonts w:eastAsia="Times New Roman"/>
          <w:color w:val="000000"/>
          <w:sz w:val="22"/>
          <w:vertAlign w:val="superscript"/>
        </w:rPr>
        <w:t>[162]</w:t>
      </w:r>
      <w:r w:rsidRPr="00C24766">
        <w:rPr>
          <w:rFonts w:eastAsia="Times New Roman"/>
          <w:color w:val="000000"/>
          <w:sz w:val="22"/>
          <w:szCs w:val="20"/>
        </w:rPr>
        <w:t xml:space="preserve"> </w:t>
      </w:r>
      <w:proofErr w:type="gramStart"/>
      <w:r w:rsidRPr="00C24766">
        <w:rPr>
          <w:rFonts w:eastAsia="Times New Roman"/>
          <w:color w:val="000000"/>
          <w:sz w:val="22"/>
          <w:szCs w:val="20"/>
        </w:rPr>
        <w:t>The</w:t>
      </w:r>
      <w:proofErr w:type="gramEnd"/>
      <w:r w:rsidRPr="00C24766">
        <w:rPr>
          <w:rFonts w:eastAsia="Times New Roman"/>
          <w:color w:val="000000"/>
          <w:sz w:val="22"/>
          <w:szCs w:val="20"/>
        </w:rPr>
        <w:t xml:space="preserve"> voters of </w:t>
      </w:r>
      <w:smartTag w:uri="urn:schemas-microsoft-com:office:smarttags" w:element="State">
        <w:smartTag w:uri="urn:schemas-microsoft-com:office:smarttags" w:element="place">
          <w:r w:rsidRPr="00C24766">
            <w:rPr>
              <w:rFonts w:eastAsia="Times New Roman"/>
              <w:color w:val="000000"/>
              <w:sz w:val="22"/>
              <w:szCs w:val="20"/>
            </w:rPr>
            <w:t>West Virginia</w:t>
          </w:r>
        </w:smartTag>
      </w:smartTag>
      <w:r w:rsidRPr="00C24766">
        <w:rPr>
          <w:rFonts w:eastAsia="Times New Roman"/>
          <w:color w:val="000000"/>
          <w:sz w:val="22"/>
          <w:szCs w:val="20"/>
        </w:rPr>
        <w:t xml:space="preserve"> adopted their guarantee by an overwhelming margin as well.</w:t>
      </w:r>
      <w:r w:rsidRPr="00C24766">
        <w:rPr>
          <w:rFonts w:eastAsia="Times New Roman"/>
          <w:color w:val="000000"/>
          <w:sz w:val="22"/>
          <w:vertAlign w:val="superscript"/>
        </w:rPr>
        <w:endnoteReference w:id="163"/>
      </w:r>
      <w:r w:rsidRPr="00C24766">
        <w:rPr>
          <w:rFonts w:eastAsia="Times New Roman"/>
          <w:color w:val="000000"/>
          <w:sz w:val="22"/>
          <w:vertAlign w:val="superscript"/>
        </w:rPr>
        <w:t>[163]</w:t>
      </w:r>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West Virginia</w:t>
          </w:r>
        </w:smartTag>
      </w:smartTag>
      <w:r w:rsidRPr="00C24766">
        <w:rPr>
          <w:rFonts w:eastAsia="Times New Roman"/>
          <w:color w:val="000000"/>
          <w:sz w:val="22"/>
          <w:szCs w:val="20"/>
        </w:rPr>
        <w:t xml:space="preserve"> is a mostly rural state where “traditional values” are especially popular; </w:t>
      </w:r>
      <w:smartTag w:uri="urn:schemas-microsoft-com:office:smarttags" w:element="State">
        <w:smartTag w:uri="urn:schemas-microsoft-com:office:smarttags" w:element="place">
          <w:r w:rsidRPr="00C24766">
            <w:rPr>
              <w:rFonts w:eastAsia="Times New Roman"/>
              <w:color w:val="000000"/>
              <w:sz w:val="22"/>
              <w:szCs w:val="20"/>
            </w:rPr>
            <w:t>Wisconsin</w:t>
          </w:r>
        </w:smartTag>
      </w:smartTag>
      <w:r w:rsidRPr="00C24766">
        <w:rPr>
          <w:rFonts w:eastAsia="Times New Roman"/>
          <w:color w:val="000000"/>
          <w:sz w:val="22"/>
          <w:szCs w:val="20"/>
        </w:rPr>
        <w:t xml:space="preserve"> is the home of the American progressive movement. In both states, the right to arms was adopted by a huge majority.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The voters of </w:t>
      </w:r>
      <w:smartTag w:uri="urn:schemas-microsoft-com:office:smarttags" w:element="State">
        <w:smartTag w:uri="urn:schemas-microsoft-com:office:smarttags" w:element="place">
          <w:r w:rsidRPr="00C24766">
            <w:rPr>
              <w:rFonts w:eastAsia="Times New Roman"/>
              <w:color w:val="000000"/>
              <w:sz w:val="22"/>
              <w:szCs w:val="20"/>
            </w:rPr>
            <w:t>West Virginia</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Wisconsin</w:t>
          </w:r>
        </w:smartTag>
      </w:smartTag>
      <w:r w:rsidRPr="00C24766">
        <w:rPr>
          <w:rFonts w:eastAsia="Times New Roman"/>
          <w:color w:val="000000"/>
          <w:sz w:val="22"/>
          <w:szCs w:val="20"/>
        </w:rPr>
        <w:t xml:space="preserve">, like the voters of </w:t>
      </w:r>
      <w:smartTag w:uri="urn:schemas-microsoft-com:office:smarttags" w:element="State">
        <w:smartTag w:uri="urn:schemas-microsoft-com:office:smarttags" w:element="place">
          <w:r w:rsidRPr="00C24766">
            <w:rPr>
              <w:rFonts w:eastAsia="Times New Roman"/>
              <w:color w:val="000000"/>
              <w:sz w:val="22"/>
              <w:szCs w:val="20"/>
            </w:rPr>
            <w:t>Nebraska</w:t>
          </w:r>
        </w:smartTag>
      </w:smartTag>
      <w:r w:rsidRPr="00C24766">
        <w:rPr>
          <w:rFonts w:eastAsia="Times New Roman"/>
          <w:color w:val="000000"/>
          <w:sz w:val="22"/>
          <w:szCs w:val="20"/>
        </w:rPr>
        <w:t xml:space="preserve">, </w:t>
      </w:r>
      <w:smartTag w:uri="urn:schemas-microsoft-com:office:smarttags" w:element="State">
        <w:smartTag w:uri="urn:schemas-microsoft-com:office:smarttags" w:element="place">
          <w:r w:rsidRPr="00C24766">
            <w:rPr>
              <w:rFonts w:eastAsia="Times New Roman"/>
              <w:color w:val="000000"/>
              <w:sz w:val="22"/>
              <w:szCs w:val="20"/>
            </w:rPr>
            <w:t>Maine</w:t>
          </w:r>
        </w:smartTag>
      </w:smartTag>
      <w:r w:rsidRPr="00C24766">
        <w:rPr>
          <w:rFonts w:eastAsia="Times New Roman"/>
          <w:color w:val="000000"/>
          <w:sz w:val="22"/>
          <w:szCs w:val="20"/>
        </w:rPr>
        <w:t xml:space="preserve">, and </w:t>
      </w:r>
      <w:smartTag w:uri="urn:schemas-microsoft-com:office:smarttags" w:element="State">
        <w:smartTag w:uri="urn:schemas-microsoft-com:office:smarttags" w:element="place">
          <w:r w:rsidRPr="00C24766">
            <w:rPr>
              <w:rFonts w:eastAsia="Times New Roman"/>
              <w:color w:val="000000"/>
              <w:sz w:val="22"/>
              <w:szCs w:val="20"/>
            </w:rPr>
            <w:t>Utah</w:t>
          </w:r>
        </w:smartTag>
      </w:smartTag>
      <w:r w:rsidRPr="00C24766">
        <w:rPr>
          <w:rFonts w:eastAsia="Times New Roman"/>
          <w:color w:val="000000"/>
          <w:sz w:val="22"/>
          <w:szCs w:val="20"/>
        </w:rPr>
        <w:t>, have adopted or strengthened their state right to arms in modern times, with an awareness of modern conditions, such as urbanization, powerful modern firearms, and crime. These votes suggest that the American people do not regard the right to arms as an obsolete relic of frontier days, or as a quaint expression of early republic worries about standing armies. Thus, these votes contradict the notion of some academics that the Second Amendment should be regarded as obsolete or irrelevant.</w:t>
      </w:r>
      <w:r w:rsidRPr="00C24766">
        <w:rPr>
          <w:rFonts w:eastAsia="Times New Roman"/>
          <w:color w:val="000000"/>
          <w:sz w:val="22"/>
          <w:vertAlign w:val="superscript"/>
        </w:rPr>
        <w:endnoteReference w:id="164"/>
      </w:r>
      <w:r w:rsidRPr="00C24766">
        <w:rPr>
          <w:rFonts w:eastAsia="Times New Roman"/>
          <w:color w:val="000000"/>
          <w:sz w:val="22"/>
          <w:vertAlign w:val="superscript"/>
        </w:rPr>
        <w:t>[164]</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Wyoming</w:t>
          </w:r>
        </w:smartTag>
      </w:smartTag>
      <w:r w:rsidRPr="00C24766">
        <w:rPr>
          <w:rFonts w:eastAsia="Times New Roman"/>
          <w:color w:val="000000"/>
          <w:sz w:val="22"/>
          <w:szCs w:val="20"/>
        </w:rPr>
        <w:t>: “The right of citizens to bear arms in defense of themselves and of the state shall not be denied.”</w:t>
      </w:r>
      <w:r w:rsidRPr="00C24766">
        <w:rPr>
          <w:rFonts w:eastAsia="Times New Roman"/>
          <w:color w:val="000000"/>
          <w:sz w:val="22"/>
          <w:vertAlign w:val="superscript"/>
        </w:rPr>
        <w:endnoteReference w:id="165"/>
      </w:r>
      <w:r w:rsidRPr="00C24766">
        <w:rPr>
          <w:rFonts w:eastAsia="Times New Roman"/>
          <w:color w:val="000000"/>
          <w:sz w:val="22"/>
          <w:vertAlign w:val="superscript"/>
        </w:rPr>
        <w:t>[165]</w:t>
      </w:r>
      <w:r w:rsidRPr="00C24766">
        <w:rPr>
          <w:rFonts w:eastAsia="Times New Roman"/>
          <w:color w:val="000000"/>
          <w:sz w:val="22"/>
          <w:szCs w:val="20"/>
        </w:rPr>
        <w:t xml:space="preserve"> </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Once more, “bear arms” is something that citizens can do “in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xml:space="preserve"> of themselves,” and not only in defense of “the state.”</w:t>
      </w:r>
    </w:p>
    <w:p w:rsidR="00C24766" w:rsidRPr="00C24766" w:rsidRDefault="00C24766" w:rsidP="00C24766">
      <w:pPr>
        <w:jc w:val="both"/>
        <w:rPr>
          <w:rFonts w:eastAsia="Times New Roman"/>
          <w:color w:val="000000"/>
        </w:rPr>
      </w:pPr>
      <w:r w:rsidRPr="00C24766">
        <w:rPr>
          <w:rFonts w:eastAsia="Times New Roman"/>
          <w:b/>
          <w:bCs/>
          <w:caps/>
          <w:color w:val="000000"/>
          <w:sz w:val="36"/>
          <w:szCs w:val="36"/>
        </w:rPr>
        <w:t>Two Exceptions</w:t>
      </w:r>
    </w:p>
    <w:p w:rsidR="00C24766" w:rsidRPr="00C24766" w:rsidRDefault="00C24766" w:rsidP="00C24766">
      <w:pPr>
        <w:jc w:val="both"/>
        <w:rPr>
          <w:rFonts w:eastAsia="Times New Roman"/>
          <w:b/>
          <w:color w:val="000000"/>
          <w:sz w:val="22"/>
          <w:szCs w:val="20"/>
        </w:rPr>
      </w:pPr>
      <w:r w:rsidRPr="00C24766">
        <w:rPr>
          <w:rFonts w:eastAsia="Times New Roman"/>
          <w:color w:val="000000"/>
          <w:sz w:val="22"/>
          <w:szCs w:val="20"/>
        </w:rPr>
        <w:tab/>
        <w:t>We have examined forty-two states where the right to keep and bear arms as expressed in the state constitutions have been consistently interpreted as protecting an individual right.  In two states, however, the interpretation has shifted.</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Kansas</w:t>
          </w:r>
        </w:smartTag>
      </w:smartTag>
      <w:r w:rsidRPr="00C24766">
        <w:rPr>
          <w:rFonts w:eastAsia="Times New Roman"/>
          <w:color w:val="000000"/>
          <w:sz w:val="22"/>
          <w:szCs w:val="20"/>
        </w:rPr>
        <w:t>: The Kansas Bill of Rights was adopted in 1859, and guaranteed: “The people have the right to bear arms for their defense and security; but standing armies, in time of peace, are dangerous to liberty, and shall not be tolerated, and the military shall be in strict subordination to the civil power.”</w:t>
      </w:r>
      <w:r w:rsidRPr="00C24766">
        <w:rPr>
          <w:rFonts w:eastAsia="Times New Roman"/>
          <w:color w:val="000000"/>
          <w:sz w:val="22"/>
          <w:vertAlign w:val="superscript"/>
        </w:rPr>
        <w:endnoteReference w:id="166"/>
      </w:r>
      <w:r w:rsidRPr="00C24766">
        <w:rPr>
          <w:rFonts w:eastAsia="Times New Roman"/>
          <w:color w:val="000000"/>
          <w:sz w:val="22"/>
          <w:vertAlign w:val="superscript"/>
        </w:rPr>
        <w:t>[166]</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The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 approach to interpreting the Second Amendment was created in dicta from a 1905 Kansas Supreme Court decision, </w:t>
      </w:r>
      <w:r w:rsidRPr="00C24766">
        <w:rPr>
          <w:rFonts w:eastAsia="Times New Roman"/>
          <w:i/>
          <w:color w:val="000000"/>
          <w:sz w:val="22"/>
          <w:szCs w:val="20"/>
        </w:rPr>
        <w:t xml:space="preserve">City of Salina v. </w:t>
      </w:r>
      <w:proofErr w:type="spellStart"/>
      <w:r w:rsidRPr="00C24766">
        <w:rPr>
          <w:rFonts w:eastAsia="Times New Roman"/>
          <w:i/>
          <w:color w:val="000000"/>
          <w:sz w:val="22"/>
          <w:szCs w:val="20"/>
        </w:rPr>
        <w:t>Blaksley</w:t>
      </w:r>
      <w:proofErr w:type="spellEnd"/>
      <w:r w:rsidRPr="00C24766">
        <w:rPr>
          <w:rFonts w:eastAsia="Times New Roman"/>
          <w:color w:val="000000"/>
          <w:sz w:val="22"/>
          <w:szCs w:val="20"/>
        </w:rPr>
        <w:t>, interpreting the state constitution.</w:t>
      </w:r>
      <w:r w:rsidRPr="00C24766">
        <w:rPr>
          <w:rFonts w:eastAsia="Times New Roman"/>
          <w:color w:val="000000"/>
          <w:sz w:val="22"/>
          <w:vertAlign w:val="superscript"/>
        </w:rPr>
        <w:t xml:space="preserve"> </w:t>
      </w:r>
      <w:r w:rsidRPr="00C24766">
        <w:rPr>
          <w:rFonts w:eastAsia="Times New Roman"/>
          <w:color w:val="000000"/>
          <w:sz w:val="22"/>
          <w:vertAlign w:val="superscript"/>
        </w:rPr>
        <w:endnoteReference w:id="167"/>
      </w:r>
      <w:r w:rsidRPr="00C24766">
        <w:rPr>
          <w:rFonts w:eastAsia="Times New Roman"/>
          <w:color w:val="000000"/>
          <w:sz w:val="22"/>
          <w:vertAlign w:val="superscript"/>
        </w:rPr>
        <w:t>[167]</w:t>
      </w:r>
      <w:r w:rsidRPr="00C24766">
        <w:rPr>
          <w:rFonts w:eastAsia="Times New Roman"/>
          <w:color w:val="000000"/>
          <w:sz w:val="22"/>
          <w:szCs w:val="20"/>
        </w:rPr>
        <w:t xml:space="preserve"> </w:t>
      </w:r>
      <w:proofErr w:type="gramStart"/>
      <w:r w:rsidRPr="00C24766">
        <w:rPr>
          <w:rFonts w:eastAsia="Times New Roman"/>
          <w:color w:val="000000"/>
          <w:sz w:val="22"/>
          <w:szCs w:val="20"/>
        </w:rPr>
        <w:t>The</w:t>
      </w:r>
      <w:proofErr w:type="gramEnd"/>
      <w:r w:rsidRPr="00C24766">
        <w:rPr>
          <w:rFonts w:eastAsia="Times New Roman"/>
          <w:color w:val="000000"/>
          <w:sz w:val="22"/>
          <w:szCs w:val="20"/>
        </w:rPr>
        <w:t xml:space="preserve"> case arose out of enforcement of an ordinance against carrying concealed weapons.</w:t>
      </w:r>
      <w:r w:rsidRPr="00C24766">
        <w:rPr>
          <w:rFonts w:eastAsia="Times New Roman"/>
          <w:color w:val="000000"/>
          <w:sz w:val="22"/>
          <w:vertAlign w:val="superscript"/>
        </w:rPr>
        <w:endnoteReference w:id="168"/>
      </w:r>
      <w:r w:rsidRPr="00C24766">
        <w:rPr>
          <w:rFonts w:eastAsia="Times New Roman"/>
          <w:color w:val="000000"/>
          <w:sz w:val="22"/>
          <w:vertAlign w:val="superscript"/>
        </w:rPr>
        <w:t>[168]</w:t>
      </w:r>
      <w:r w:rsidRPr="00C24766">
        <w:rPr>
          <w:rFonts w:eastAsia="Times New Roman"/>
          <w:color w:val="000000"/>
          <w:sz w:val="22"/>
          <w:szCs w:val="20"/>
        </w:rPr>
        <w:t xml:space="preserve"> The government, on appeal, simply urged that the ordinance was a reasonable regulation of the right to arms, but the Kansas Supreme Court went much further, and declared that the right to arms protected the state government, not the individual citizen,</w:t>
      </w:r>
      <w:r w:rsidRPr="00C24766">
        <w:rPr>
          <w:rFonts w:eastAsia="Times New Roman"/>
          <w:color w:val="000000"/>
          <w:sz w:val="22"/>
          <w:vertAlign w:val="superscript"/>
        </w:rPr>
        <w:endnoteReference w:id="169"/>
      </w:r>
      <w:r w:rsidRPr="00C24766">
        <w:rPr>
          <w:rFonts w:eastAsia="Times New Roman"/>
          <w:color w:val="000000"/>
          <w:sz w:val="22"/>
          <w:vertAlign w:val="superscript"/>
        </w:rPr>
        <w:t>[169]</w:t>
      </w:r>
      <w:r w:rsidRPr="00C24766">
        <w:rPr>
          <w:rFonts w:eastAsia="Times New Roman"/>
          <w:color w:val="000000"/>
          <w:sz w:val="22"/>
          <w:szCs w:val="20"/>
        </w:rPr>
        <w:t xml:space="preserve"> thereby adopting a  “collective rights” theory, meaning the state was not bound to respect it.</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Except for the concurring opinion in the 1840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case</w:t>
      </w:r>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170"/>
      </w:r>
      <w:r w:rsidRPr="00C24766">
        <w:rPr>
          <w:rFonts w:eastAsia="Times New Roman"/>
          <w:color w:val="000000"/>
          <w:sz w:val="22"/>
          <w:vertAlign w:val="superscript"/>
        </w:rPr>
        <w:t>[170]</w:t>
      </w:r>
      <w:r w:rsidRPr="00C24766">
        <w:rPr>
          <w:rFonts w:eastAsia="Times New Roman"/>
          <w:color w:val="000000"/>
          <w:sz w:val="22"/>
          <w:szCs w:val="20"/>
        </w:rPr>
        <w:t xml:space="preserve"> which was ignored by future </w:t>
      </w:r>
      <w:smartTag w:uri="urn:schemas-microsoft-com:office:smarttags" w:element="State">
        <w:smartTag w:uri="urn:schemas-microsoft-com:office:smarttags" w:element="place">
          <w:r w:rsidRPr="00C24766">
            <w:rPr>
              <w:rFonts w:eastAsia="Times New Roman"/>
              <w:color w:val="000000"/>
              <w:sz w:val="22"/>
              <w:szCs w:val="20"/>
            </w:rPr>
            <w:t>Arkansas</w:t>
          </w:r>
        </w:smartTag>
      </w:smartTag>
      <w:r w:rsidRPr="00C24766">
        <w:rPr>
          <w:rFonts w:eastAsia="Times New Roman"/>
          <w:color w:val="000000"/>
          <w:sz w:val="22"/>
          <w:szCs w:val="20"/>
        </w:rPr>
        <w:t xml:space="preserve"> courts, there was no legal precedent for the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 court’s theory.  All precedent had treated the Second Amendment and its state analogues as individual rights.</w:t>
      </w:r>
      <w:r w:rsidRPr="00C24766">
        <w:rPr>
          <w:rFonts w:eastAsia="Times New Roman"/>
          <w:color w:val="000000"/>
          <w:sz w:val="22"/>
          <w:vertAlign w:val="superscript"/>
        </w:rPr>
        <w:endnoteReference w:id="171"/>
      </w:r>
      <w:r w:rsidRPr="00C24766">
        <w:rPr>
          <w:rFonts w:eastAsia="Times New Roman"/>
          <w:color w:val="000000"/>
          <w:sz w:val="22"/>
          <w:vertAlign w:val="superscript"/>
        </w:rPr>
        <w:t>[171]</w:t>
      </w:r>
      <w:r w:rsidRPr="00C24766">
        <w:rPr>
          <w:rFonts w:eastAsia="Times New Roman"/>
          <w:color w:val="000000"/>
          <w:sz w:val="22"/>
          <w:szCs w:val="20"/>
        </w:rPr>
        <w:t xml:space="preserve"> Thus, the Kansas Supreme Court, prefiguring the scholarship of Michael </w:t>
      </w:r>
      <w:proofErr w:type="spellStart"/>
      <w:r w:rsidRPr="00C24766">
        <w:rPr>
          <w:rFonts w:eastAsia="Times New Roman"/>
          <w:color w:val="000000"/>
          <w:sz w:val="22"/>
          <w:szCs w:val="20"/>
        </w:rPr>
        <w:t>Bellesiles</w:t>
      </w:r>
      <w:proofErr w:type="spellEnd"/>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172"/>
      </w:r>
      <w:r w:rsidRPr="00C24766">
        <w:rPr>
          <w:rFonts w:eastAsia="Times New Roman"/>
          <w:color w:val="000000"/>
          <w:sz w:val="22"/>
          <w:vertAlign w:val="superscript"/>
        </w:rPr>
        <w:t>[172]</w:t>
      </w:r>
      <w:r w:rsidRPr="00C24766">
        <w:rPr>
          <w:rFonts w:eastAsia="Times New Roman"/>
          <w:color w:val="000000"/>
          <w:sz w:val="22"/>
          <w:szCs w:val="20"/>
        </w:rPr>
        <w:t xml:space="preserve"> simply offered citations to precedents</w:t>
      </w:r>
      <w:r w:rsidRPr="00C24766">
        <w:rPr>
          <w:rFonts w:eastAsia="Times New Roman"/>
          <w:color w:val="000000"/>
          <w:sz w:val="22"/>
          <w:vertAlign w:val="superscript"/>
        </w:rPr>
        <w:endnoteReference w:id="173"/>
      </w:r>
      <w:r w:rsidRPr="00C24766">
        <w:rPr>
          <w:rFonts w:eastAsia="Times New Roman"/>
          <w:color w:val="000000"/>
          <w:sz w:val="22"/>
          <w:vertAlign w:val="superscript"/>
        </w:rPr>
        <w:t>[173]</w:t>
      </w:r>
      <w:r w:rsidRPr="00C24766">
        <w:rPr>
          <w:rFonts w:eastAsia="Times New Roman"/>
          <w:color w:val="000000"/>
          <w:sz w:val="22"/>
          <w:szCs w:val="20"/>
        </w:rPr>
        <w:t xml:space="preserve"> which, when actually examined, were contrary to the court’s theory. All of the precedents cited by the Kansas Supreme Court upheld particular gun controls, while treating the right to arms as an individual right.</w:t>
      </w:r>
      <w:r w:rsidRPr="00C24766">
        <w:rPr>
          <w:rFonts w:eastAsia="Times New Roman"/>
          <w:color w:val="000000"/>
          <w:sz w:val="22"/>
          <w:vertAlign w:val="superscript"/>
        </w:rPr>
        <w:endnoteReference w:id="174"/>
      </w:r>
      <w:r w:rsidRPr="00C24766">
        <w:rPr>
          <w:rFonts w:eastAsia="Times New Roman"/>
          <w:color w:val="000000"/>
          <w:sz w:val="22"/>
          <w:vertAlign w:val="superscript"/>
        </w:rPr>
        <w:t>[174]</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In 1979,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’s courts abandoned the 1905 interpretation.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 citizens -- regardless of whether they are in the Kansas National Guard -- may raise claims under the Kansas Bill of Rights guarantee.</w:t>
      </w:r>
      <w:r w:rsidRPr="00C24766">
        <w:rPr>
          <w:rFonts w:eastAsia="Times New Roman"/>
          <w:color w:val="000000"/>
          <w:sz w:val="22"/>
          <w:vertAlign w:val="superscript"/>
        </w:rPr>
        <w:endnoteReference w:id="175"/>
      </w:r>
      <w:r w:rsidRPr="00C24766">
        <w:rPr>
          <w:rFonts w:eastAsia="Times New Roman"/>
          <w:color w:val="000000"/>
          <w:sz w:val="22"/>
          <w:vertAlign w:val="superscript"/>
        </w:rPr>
        <w:t>[175]</w:t>
      </w:r>
    </w:p>
    <w:p w:rsidR="00C24766" w:rsidRPr="00C24766" w:rsidRDefault="00C24766" w:rsidP="00C24766">
      <w:pPr>
        <w:jc w:val="both"/>
        <w:rPr>
          <w:rFonts w:eastAsia="Times New Roman"/>
          <w:color w:val="000000"/>
          <w:sz w:val="22"/>
          <w:szCs w:val="20"/>
        </w:rPr>
      </w:pPr>
      <w:smartTag w:uri="urn:schemas-microsoft-com:office:smarttags" w:element="State">
        <w:smartTag w:uri="urn:schemas-microsoft-com:office:smarttags" w:element="place">
          <w:r w:rsidRPr="00C24766">
            <w:rPr>
              <w:rFonts w:eastAsia="Times New Roman"/>
              <w:b/>
              <w:color w:val="000000"/>
              <w:sz w:val="22"/>
              <w:szCs w:val="20"/>
            </w:rPr>
            <w:t>Massachusetts</w:t>
          </w:r>
        </w:smartTag>
      </w:smartTag>
      <w:r w:rsidRPr="00C24766">
        <w:rPr>
          <w:rFonts w:eastAsia="Times New Roman"/>
          <w:b/>
          <w:color w:val="000000"/>
          <w:sz w:val="22"/>
          <w:szCs w:val="20"/>
        </w:rPr>
        <w:t>:</w:t>
      </w:r>
      <w:r w:rsidRPr="00C24766">
        <w:rPr>
          <w:rFonts w:eastAsia="Times New Roman"/>
          <w:color w:val="000000"/>
          <w:sz w:val="22"/>
          <w:szCs w:val="20"/>
        </w:rPr>
        <w:t xml:space="preserve"> According to the Massachusetts Constitution adopted in 1780, “The people have a right to keep and to bear arms for the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And as, in time of peace, armies are dangerous to liberty, they ought not to be maintained without the consent of the legislature; and the military power shall always be held in an exact subordination to the civil authority, and be governed by it.”</w:t>
      </w:r>
      <w:r w:rsidRPr="00C24766">
        <w:rPr>
          <w:rFonts w:eastAsia="Times New Roman"/>
          <w:color w:val="000000"/>
          <w:sz w:val="22"/>
          <w:vertAlign w:val="superscript"/>
        </w:rPr>
        <w:endnoteReference w:id="176"/>
      </w:r>
      <w:r w:rsidRPr="00C24766">
        <w:rPr>
          <w:rFonts w:eastAsia="Times New Roman"/>
          <w:color w:val="000000"/>
          <w:sz w:val="22"/>
          <w:vertAlign w:val="superscript"/>
        </w:rPr>
        <w:t>[176]</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In the nineteenth century,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’s courts interpreted this clause as guaranteeing an individual right to arms.</w:t>
      </w:r>
      <w:r w:rsidRPr="00C24766">
        <w:rPr>
          <w:rFonts w:eastAsia="Times New Roman"/>
          <w:color w:val="000000"/>
          <w:sz w:val="22"/>
          <w:vertAlign w:val="superscript"/>
        </w:rPr>
        <w:endnoteReference w:id="177"/>
      </w:r>
      <w:r w:rsidRPr="00C24766">
        <w:rPr>
          <w:rFonts w:eastAsia="Times New Roman"/>
          <w:color w:val="000000"/>
          <w:sz w:val="22"/>
          <w:vertAlign w:val="superscript"/>
        </w:rPr>
        <w:t>[177]</w:t>
      </w:r>
      <w:r w:rsidRPr="00C24766">
        <w:rPr>
          <w:rFonts w:eastAsia="Times New Roman"/>
          <w:color w:val="000000"/>
          <w:sz w:val="22"/>
          <w:szCs w:val="20"/>
        </w:rPr>
        <w:t xml:space="preserve"> But in 1976, the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high court ruled that the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arms rights provision is merely an affirmation of the state government's militia powers.</w:t>
      </w:r>
      <w:r w:rsidRPr="00C24766">
        <w:rPr>
          <w:rFonts w:eastAsia="Times New Roman"/>
          <w:color w:val="000000"/>
          <w:sz w:val="22"/>
          <w:vertAlign w:val="superscript"/>
        </w:rPr>
        <w:endnoteReference w:id="178"/>
      </w:r>
      <w:r w:rsidRPr="00C24766">
        <w:rPr>
          <w:rFonts w:eastAsia="Times New Roman"/>
          <w:color w:val="000000"/>
          <w:sz w:val="22"/>
          <w:vertAlign w:val="superscript"/>
        </w:rPr>
        <w:t>[178]</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Today,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is the only state where the state constitutional right to arms has been held not to extend to individuals who are not in a militia.</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Textually, the Massachusetts Constitution offers strong language for the anti-individual interpretation; the right is only “for the common </w:t>
      </w:r>
      <w:proofErr w:type="spellStart"/>
      <w:r w:rsidRPr="00C24766">
        <w:rPr>
          <w:rFonts w:eastAsia="Times New Roman"/>
          <w:color w:val="000000"/>
          <w:sz w:val="22"/>
          <w:szCs w:val="20"/>
        </w:rPr>
        <w:t>defence</w:t>
      </w:r>
      <w:proofErr w:type="spellEnd"/>
      <w:proofErr w:type="gramStart"/>
      <w:r w:rsidRPr="00C24766">
        <w:rPr>
          <w:rFonts w:eastAsia="Times New Roman"/>
          <w:color w:val="000000"/>
          <w:sz w:val="22"/>
          <w:szCs w:val="20"/>
        </w:rPr>
        <w:t>”</w:t>
      </w:r>
      <w:proofErr w:type="gramEnd"/>
      <w:r w:rsidRPr="00C24766">
        <w:rPr>
          <w:rFonts w:eastAsia="Times New Roman"/>
          <w:color w:val="000000"/>
          <w:sz w:val="22"/>
          <w:vertAlign w:val="superscript"/>
        </w:rPr>
        <w:endnoteReference w:id="179"/>
      </w:r>
      <w:r w:rsidRPr="00C24766">
        <w:rPr>
          <w:rFonts w:eastAsia="Times New Roman"/>
          <w:color w:val="000000"/>
          <w:sz w:val="22"/>
          <w:vertAlign w:val="superscript"/>
        </w:rPr>
        <w:t>[179]</w:t>
      </w:r>
      <w:r w:rsidRPr="00C24766">
        <w:rPr>
          <w:rFonts w:eastAsia="Times New Roman"/>
          <w:color w:val="000000"/>
          <w:sz w:val="22"/>
          <w:szCs w:val="20"/>
        </w:rPr>
        <w:t xml:space="preserve"> and the right is in the same sentence as restrictions on </w:t>
      </w:r>
      <w:r w:rsidRPr="00C24766">
        <w:rPr>
          <w:rFonts w:eastAsia="Times New Roman"/>
          <w:color w:val="000000"/>
          <w:sz w:val="22"/>
          <w:szCs w:val="20"/>
        </w:rPr>
        <w:lastRenderedPageBreak/>
        <w:t xml:space="preserve">standing armies, whereas the Second Amendment contains no such language. Also, the 1976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court could rely on the 1905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 case, since the Kansas Supreme Court did not abandon that case until 1979.</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ab/>
        <w:t xml:space="preserve">Current interpretation of the right to arms in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is the exception that proves the rule. Out of forty-four states with a right to arms,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is the only one that does not protect individual rights, and that policy was not created until nearly 200 years after the state constitution was adopted, and was contrary to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precedent.</w:t>
      </w:r>
    </w:p>
    <w:p w:rsidR="00C24766" w:rsidRPr="00C24766" w:rsidRDefault="00C24766" w:rsidP="00C24766">
      <w:pPr>
        <w:jc w:val="both"/>
        <w:rPr>
          <w:rFonts w:eastAsia="Times New Roman"/>
          <w:color w:val="000000"/>
        </w:rPr>
      </w:pPr>
      <w:r w:rsidRPr="00C24766">
        <w:rPr>
          <w:rFonts w:eastAsia="Times New Roman"/>
          <w:b/>
          <w:bCs/>
          <w:caps/>
          <w:color w:val="000000"/>
          <w:sz w:val="36"/>
          <w:szCs w:val="20"/>
        </w:rPr>
        <w:t>V. Conclusion</w:t>
      </w:r>
    </w:p>
    <w:p w:rsidR="00C24766" w:rsidRPr="00C24766" w:rsidRDefault="00C24766" w:rsidP="00C24766">
      <w:pPr>
        <w:jc w:val="both"/>
        <w:rPr>
          <w:rFonts w:eastAsia="Times New Roman"/>
          <w:color w:val="000000"/>
          <w:sz w:val="22"/>
          <w:szCs w:val="20"/>
        </w:rPr>
      </w:pPr>
      <w:r w:rsidRPr="00C24766">
        <w:rPr>
          <w:rFonts w:eastAsia="Times New Roman"/>
          <w:color w:val="000000"/>
          <w:sz w:val="22"/>
          <w:szCs w:val="20"/>
        </w:rPr>
        <w:t xml:space="preserve">We have examined the text of the forty-four state constitutions which guarantee a right to arms. In forty-two of those states, we have found an unbroken interpretive mode: language identical to or similar to the federal Second Amendment that has been consistently interpreted as guaranteeing an individual right. This individual rights interpretation has prevailed even when the state constitution text denounces standing armies or mentions only </w:t>
      </w:r>
      <w:r w:rsidRPr="00C24766">
        <w:rPr>
          <w:rFonts w:eastAsia="Times New Roman"/>
          <w:color w:val="000000"/>
          <w:sz w:val="22"/>
          <w:szCs w:val="22"/>
        </w:rPr>
        <w:t>"</w:t>
      </w:r>
      <w:r w:rsidRPr="00C24766">
        <w:rPr>
          <w:rFonts w:eastAsia="Times New Roman"/>
          <w:color w:val="000000"/>
          <w:sz w:val="22"/>
          <w:szCs w:val="20"/>
        </w:rPr>
        <w:t xml:space="preserve">the common defense." Even then, the state arms guarantees have been held to protect individual rights. </w:t>
      </w:r>
      <w:r w:rsidRPr="00C24766">
        <w:rPr>
          <w:rFonts w:eastAsia="Times New Roman"/>
          <w:i/>
          <w:color w:val="000000"/>
          <w:sz w:val="22"/>
          <w:szCs w:val="20"/>
        </w:rPr>
        <w:t>A fortiori</w:t>
      </w:r>
      <w:r w:rsidRPr="00C24766">
        <w:rPr>
          <w:rFonts w:eastAsia="Times New Roman"/>
          <w:color w:val="000000"/>
          <w:sz w:val="22"/>
          <w:szCs w:val="20"/>
        </w:rPr>
        <w:t xml:space="preserve">, the federal Second Amendment -- which has no “standing army” language, and whose drafters specifically rejected the inclusion of a “for the common </w:t>
      </w:r>
      <w:proofErr w:type="spellStart"/>
      <w:r w:rsidRPr="00C24766">
        <w:rPr>
          <w:rFonts w:eastAsia="Times New Roman"/>
          <w:color w:val="000000"/>
          <w:sz w:val="22"/>
          <w:szCs w:val="20"/>
        </w:rPr>
        <w:t>defence</w:t>
      </w:r>
      <w:proofErr w:type="spellEnd"/>
      <w:r w:rsidRPr="00C24766">
        <w:rPr>
          <w:rFonts w:eastAsia="Times New Roman"/>
          <w:color w:val="000000"/>
          <w:sz w:val="22"/>
          <w:szCs w:val="20"/>
        </w:rPr>
        <w:t>” clause -- also guarantees an individual right.</w:t>
      </w:r>
    </w:p>
    <w:p w:rsidR="00C24766" w:rsidRPr="00C24766" w:rsidRDefault="00C24766" w:rsidP="00C24766">
      <w:pPr>
        <w:ind w:firstLine="720"/>
        <w:jc w:val="both"/>
        <w:rPr>
          <w:rFonts w:eastAsia="Times New Roman"/>
          <w:color w:val="000000"/>
          <w:sz w:val="22"/>
          <w:szCs w:val="20"/>
        </w:rPr>
      </w:pPr>
      <w:r w:rsidRPr="00C24766">
        <w:rPr>
          <w:rFonts w:eastAsia="Times New Roman"/>
          <w:color w:val="000000"/>
          <w:sz w:val="22"/>
          <w:szCs w:val="20"/>
        </w:rPr>
        <w:t xml:space="preserve">In contrast to the standard of the forty-two states, we did find two states with an exception.  In 1976, </w:t>
      </w:r>
      <w:smartTag w:uri="urn:schemas-microsoft-com:office:smarttags" w:element="State">
        <w:smartTag w:uri="urn:schemas-microsoft-com:office:smarttags" w:element="place">
          <w:r w:rsidRPr="00C24766">
            <w:rPr>
              <w:rFonts w:eastAsia="Times New Roman"/>
              <w:color w:val="000000"/>
              <w:sz w:val="22"/>
              <w:szCs w:val="20"/>
            </w:rPr>
            <w:t>Massachusetts</w:t>
          </w:r>
        </w:smartTag>
      </w:smartTag>
      <w:r w:rsidRPr="00C24766">
        <w:rPr>
          <w:rFonts w:eastAsia="Times New Roman"/>
          <w:color w:val="000000"/>
          <w:sz w:val="22"/>
          <w:szCs w:val="20"/>
        </w:rPr>
        <w:t xml:space="preserve"> rejected state precedent, and ruled that the state</w:t>
      </w:r>
      <w:r w:rsidRPr="00C24766">
        <w:rPr>
          <w:rFonts w:eastAsia="Times New Roman"/>
          <w:color w:val="000000"/>
          <w:sz w:val="22"/>
          <w:szCs w:val="22"/>
        </w:rPr>
        <w:t>'</w:t>
      </w:r>
      <w:r w:rsidRPr="00C24766">
        <w:rPr>
          <w:rFonts w:eastAsia="Times New Roman"/>
          <w:color w:val="000000"/>
          <w:sz w:val="22"/>
          <w:szCs w:val="20"/>
        </w:rPr>
        <w:t>s arms right was not an individual one.</w:t>
      </w:r>
      <w:r w:rsidRPr="00C24766">
        <w:rPr>
          <w:rFonts w:eastAsia="Times New Roman"/>
          <w:color w:val="000000"/>
          <w:sz w:val="22"/>
          <w:vertAlign w:val="superscript"/>
        </w:rPr>
        <w:endnoteReference w:id="180"/>
      </w:r>
      <w:r w:rsidRPr="00C24766">
        <w:rPr>
          <w:rFonts w:eastAsia="Times New Roman"/>
          <w:color w:val="000000"/>
          <w:sz w:val="22"/>
          <w:vertAlign w:val="superscript"/>
        </w:rPr>
        <w:t>[180]</w:t>
      </w:r>
      <w:r w:rsidRPr="00C24766">
        <w:rPr>
          <w:rFonts w:eastAsia="Times New Roman"/>
          <w:color w:val="000000"/>
          <w:sz w:val="22"/>
          <w:szCs w:val="20"/>
        </w:rPr>
        <w:t xml:space="preserve"> </w:t>
      </w:r>
      <w:proofErr w:type="gramStart"/>
      <w:r w:rsidRPr="00C24766">
        <w:rPr>
          <w:rFonts w:eastAsia="Times New Roman"/>
          <w:color w:val="000000"/>
          <w:sz w:val="22"/>
          <w:szCs w:val="20"/>
        </w:rPr>
        <w:t>From</w:t>
      </w:r>
      <w:proofErr w:type="gramEnd"/>
      <w:r w:rsidRPr="00C24766">
        <w:rPr>
          <w:rFonts w:eastAsia="Times New Roman"/>
          <w:color w:val="000000"/>
          <w:sz w:val="22"/>
          <w:szCs w:val="20"/>
        </w:rPr>
        <w:t xml:space="preserve"> 1905 to 1979, </w:t>
      </w:r>
      <w:smartTag w:uri="urn:schemas-microsoft-com:office:smarttags" w:element="State">
        <w:smartTag w:uri="urn:schemas-microsoft-com:office:smarttags" w:element="place">
          <w:r w:rsidRPr="00C24766">
            <w:rPr>
              <w:rFonts w:eastAsia="Times New Roman"/>
              <w:color w:val="000000"/>
              <w:sz w:val="22"/>
              <w:szCs w:val="20"/>
            </w:rPr>
            <w:t>Kansas</w:t>
          </w:r>
        </w:smartTag>
      </w:smartTag>
      <w:r w:rsidRPr="00C24766">
        <w:rPr>
          <w:rFonts w:eastAsia="Times New Roman"/>
          <w:color w:val="000000"/>
          <w:sz w:val="22"/>
          <w:szCs w:val="20"/>
        </w:rPr>
        <w:t xml:space="preserve"> had a similar interpretation.</w:t>
      </w:r>
      <w:r w:rsidRPr="00C24766">
        <w:rPr>
          <w:rFonts w:eastAsia="Times New Roman"/>
          <w:color w:val="000000"/>
          <w:sz w:val="22"/>
          <w:vertAlign w:val="superscript"/>
        </w:rPr>
        <w:endnoteReference w:id="181"/>
      </w:r>
      <w:r w:rsidRPr="00C24766">
        <w:rPr>
          <w:rFonts w:eastAsia="Times New Roman"/>
          <w:color w:val="000000"/>
          <w:sz w:val="22"/>
          <w:vertAlign w:val="superscript"/>
        </w:rPr>
        <w:t>[181]</w:t>
      </w:r>
    </w:p>
    <w:p w:rsidR="00C24766" w:rsidRPr="00C24766" w:rsidRDefault="00C24766" w:rsidP="00C24766">
      <w:pPr>
        <w:ind w:firstLine="720"/>
        <w:jc w:val="both"/>
        <w:rPr>
          <w:rFonts w:eastAsia="Times New Roman"/>
          <w:color w:val="000000"/>
        </w:rPr>
      </w:pPr>
      <w:r w:rsidRPr="00C24766">
        <w:rPr>
          <w:rFonts w:eastAsia="Times New Roman"/>
          <w:color w:val="000000"/>
          <w:sz w:val="22"/>
          <w:szCs w:val="20"/>
        </w:rPr>
        <w:t xml:space="preserve">Clever attorneys can sometimes torture constitutional language to mean almost anything. But from 1776 until the present, we have seen that the American people, through the language they have created and revised for their state constitutions, have continued to use arms rights language in a remarkably consistent way. For well over two centuries, language similar or identical to the Second Amendment has been used to guarantee the right of law-abiding individuals, not just militiamen, to personally own and carry firearms. It is simply perverse to suggest that words which from century to century and from state to state have had such a widely-shared meaning in state </w:t>
      </w:r>
      <w:proofErr w:type="gramStart"/>
      <w:r w:rsidRPr="00C24766">
        <w:rPr>
          <w:rFonts w:eastAsia="Times New Roman"/>
          <w:color w:val="000000"/>
          <w:sz w:val="22"/>
          <w:szCs w:val="20"/>
        </w:rPr>
        <w:t>constitutions,</w:t>
      </w:r>
      <w:proofErr w:type="gramEnd"/>
      <w:r w:rsidRPr="00C24766">
        <w:rPr>
          <w:rFonts w:eastAsia="Times New Roman"/>
          <w:color w:val="000000"/>
          <w:sz w:val="22"/>
          <w:szCs w:val="20"/>
        </w:rPr>
        <w:t xml:space="preserve"> should have an entirely contrary meaning when the same words appear in the federal constitution.</w:t>
      </w:r>
    </w:p>
    <w:p w:rsidR="00C24766" w:rsidRPr="00C24766" w:rsidRDefault="00C24766" w:rsidP="00C24766">
      <w:pPr>
        <w:jc w:val="center"/>
        <w:rPr>
          <w:rFonts w:eastAsia="Times New Roman"/>
          <w:color w:val="000000"/>
        </w:rPr>
      </w:pPr>
      <w:r w:rsidRPr="00C24766">
        <w:rPr>
          <w:rFonts w:eastAsia="Times New Roman"/>
          <w:b/>
          <w:bCs/>
          <w:color w:val="FF0000"/>
          <w:sz w:val="27"/>
          <w:szCs w:val="27"/>
        </w:rPr>
        <w:t xml:space="preserve">Browse or shop at Dave </w:t>
      </w:r>
      <w:proofErr w:type="spellStart"/>
      <w:r w:rsidRPr="00C24766">
        <w:rPr>
          <w:rFonts w:eastAsia="Times New Roman"/>
          <w:b/>
          <w:bCs/>
          <w:color w:val="FF0000"/>
          <w:sz w:val="27"/>
          <w:szCs w:val="27"/>
        </w:rPr>
        <w:t>Kopel's</w:t>
      </w:r>
      <w:proofErr w:type="spellEnd"/>
      <w:r w:rsidRPr="00C24766">
        <w:rPr>
          <w:rFonts w:eastAsia="Times New Roman"/>
          <w:b/>
          <w:bCs/>
          <w:color w:val="FF0000"/>
          <w:sz w:val="27"/>
          <w:szCs w:val="27"/>
        </w:rPr>
        <w:t xml:space="preserve"> </w:t>
      </w:r>
      <w:hyperlink r:id="rId7" w:history="1">
        <w:r w:rsidRPr="00C24766">
          <w:rPr>
            <w:rFonts w:eastAsia="Times New Roman"/>
            <w:b/>
            <w:bCs/>
            <w:color w:val="0000FF"/>
            <w:sz w:val="27"/>
            <w:u w:val="single"/>
          </w:rPr>
          <w:t>Great Books</w:t>
        </w:r>
      </w:hyperlink>
      <w:r w:rsidRPr="00C24766">
        <w:rPr>
          <w:rFonts w:eastAsia="Times New Roman"/>
          <w:b/>
          <w:bCs/>
          <w:color w:val="FF0000"/>
          <w:sz w:val="27"/>
          <w:szCs w:val="27"/>
        </w:rPr>
        <w:t xml:space="preserve"> and </w:t>
      </w:r>
      <w:hyperlink r:id="rId8" w:history="1">
        <w:r w:rsidRPr="00C24766">
          <w:rPr>
            <w:rFonts w:eastAsia="Times New Roman"/>
            <w:b/>
            <w:bCs/>
            <w:color w:val="0000FF"/>
            <w:sz w:val="27"/>
            <w:u w:val="single"/>
          </w:rPr>
          <w:t>Great Movies</w:t>
        </w:r>
      </w:hyperlink>
      <w:r w:rsidRPr="00C24766">
        <w:rPr>
          <w:rFonts w:eastAsia="Times New Roman"/>
          <w:b/>
          <w:bCs/>
          <w:color w:val="FF0000"/>
          <w:sz w:val="27"/>
          <w:szCs w:val="27"/>
        </w:rPr>
        <w:t xml:space="preserve"> pages.</w:t>
      </w:r>
    </w:p>
    <w:p w:rsidR="00C24766" w:rsidRPr="00C24766" w:rsidRDefault="00C24766" w:rsidP="00C24766">
      <w:pPr>
        <w:jc w:val="center"/>
        <w:rPr>
          <w:rFonts w:eastAsia="Times New Roman"/>
          <w:color w:val="000000"/>
        </w:rPr>
      </w:pPr>
      <w:r w:rsidRPr="00C24766">
        <w:rPr>
          <w:rFonts w:eastAsia="Times New Roman"/>
          <w:b/>
          <w:bCs/>
          <w:color w:val="000000"/>
          <w:sz w:val="15"/>
          <w:szCs w:val="15"/>
        </w:rPr>
        <w:t>Copyright© 2002</w:t>
      </w:r>
    </w:p>
    <w:sectPr w:rsidR="00C24766" w:rsidRPr="00C24766" w:rsidSect="00506BD5">
      <w:pgSz w:w="12240" w:h="15840" w:code="1"/>
      <w:pgMar w:top="1152"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03" w:rsidRDefault="00500203" w:rsidP="00C24766">
      <w:r>
        <w:separator/>
      </w:r>
    </w:p>
  </w:endnote>
  <w:endnote w:type="continuationSeparator" w:id="0">
    <w:p w:rsidR="00500203" w:rsidRDefault="00500203" w:rsidP="00C24766">
      <w:r>
        <w:continuationSeparator/>
      </w:r>
    </w:p>
  </w:endnote>
  <w:endnote w:id="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w:t>
      </w:r>
      <w:r w:rsidRPr="00C24766">
        <w:t xml:space="preserve"> David </w:t>
      </w:r>
      <w:proofErr w:type="spellStart"/>
      <w:r w:rsidRPr="00C24766">
        <w:t>Kopel</w:t>
      </w:r>
      <w:proofErr w:type="spellEnd"/>
      <w:r w:rsidRPr="00C24766">
        <w:t xml:space="preserve"> received his B.A. with honors from Brown University, and his J.D., magna cum laude, from the University </w:t>
      </w:r>
      <w:proofErr w:type="gramStart"/>
      <w:r w:rsidRPr="00C24766">
        <w:t>of</w:t>
      </w:r>
      <w:proofErr w:type="gramEnd"/>
      <w:r w:rsidRPr="00C24766">
        <w:t xml:space="preserve"> Michigan Law School. Currently, he is the Research Director of the Independence Institute, a non-partisan, non-profit public policy research organization. He has also served as an Assistant Attorney General for the State of Colorado and as a Professor of Law at New York University School of Law. </w:t>
      </w:r>
      <w:proofErr w:type="spellStart"/>
      <w:r w:rsidRPr="00C24766">
        <w:t>Kopel</w:t>
      </w:r>
      <w:proofErr w:type="spellEnd"/>
      <w:r w:rsidRPr="00C24766">
        <w:t xml:space="preserve"> is Editor-in-Chief of the Journal on Firearms and Public Policy, and he is a contributing editor of Gun Week and the magazine Gun News Digest. In 1999, the Citizen's Committee for the Right to </w:t>
      </w:r>
      <w:proofErr w:type="gramStart"/>
      <w:r w:rsidRPr="00C24766">
        <w:t>Keep</w:t>
      </w:r>
      <w:proofErr w:type="gramEnd"/>
      <w:r w:rsidRPr="00C24766">
        <w:t xml:space="preserve"> and Bear Arms named </w:t>
      </w:r>
      <w:proofErr w:type="spellStart"/>
      <w:r w:rsidRPr="00C24766">
        <w:t>Kopel</w:t>
      </w:r>
      <w:proofErr w:type="spellEnd"/>
      <w:r w:rsidRPr="00C24766">
        <w:t xml:space="preserve"> the Gun Rights Defender of the Year.</w:t>
      </w:r>
    </w:p>
  </w:endnote>
  <w:endnote w:id="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w:t>
      </w:r>
      <w:r w:rsidRPr="00C24766">
        <w:rPr>
          <w:szCs w:val="20"/>
        </w:rPr>
        <w:t xml:space="preserve"> </w:t>
      </w:r>
      <w:r w:rsidRPr="00C24766">
        <w:rPr>
          <w:i/>
          <w:szCs w:val="20"/>
        </w:rPr>
        <w:t xml:space="preserve">See, e.g., </w:t>
      </w:r>
      <w:hyperlink r:id="rId1" w:history="1">
        <w:proofErr w:type="spellStart"/>
        <w:r w:rsidRPr="00C24766">
          <w:rPr>
            <w:rStyle w:val="Hyperlink"/>
            <w:szCs w:val="20"/>
          </w:rPr>
          <w:t>Harmelin</w:t>
        </w:r>
        <w:proofErr w:type="spellEnd"/>
        <w:r w:rsidRPr="00C24766">
          <w:rPr>
            <w:rStyle w:val="Hyperlink"/>
            <w:szCs w:val="20"/>
          </w:rPr>
          <w:t xml:space="preserve"> v. Michigan</w:t>
        </w:r>
      </w:hyperlink>
      <w:r w:rsidRPr="00C24766">
        <w:rPr>
          <w:szCs w:val="20"/>
        </w:rPr>
        <w:t xml:space="preserve">, 501 U.S. 957, 966 (1991) (using state constitutions as aid in interpreting cruel and unusual punishment); </w:t>
      </w:r>
      <w:hyperlink r:id="rId2" w:history="1">
        <w:r w:rsidRPr="00C24766">
          <w:rPr>
            <w:rStyle w:val="Hyperlink"/>
            <w:szCs w:val="20"/>
          </w:rPr>
          <w:t>Benton v. Maryland</w:t>
        </w:r>
      </w:hyperlink>
      <w:r w:rsidRPr="00C24766">
        <w:rPr>
          <w:szCs w:val="20"/>
        </w:rPr>
        <w:t>, 395 U.S. 784, 795-96 (1969) (using state constitutions to interpret guarantee against double jeopardy).</w:t>
      </w:r>
    </w:p>
  </w:endnote>
  <w:endnote w:id="3">
    <w:p w:rsidR="00C24766" w:rsidRPr="00C24766" w:rsidRDefault="00C24766" w:rsidP="00C24766">
      <w:pPr>
        <w:pStyle w:val="NormalWeb"/>
        <w:numPr>
          <w:ilvl w:val="12"/>
          <w:numId w:val="0"/>
        </w:numPr>
        <w:spacing w:before="0" w:beforeAutospacing="0" w:after="0" w:afterAutospacing="0"/>
        <w:rPr>
          <w:i/>
        </w:rPr>
      </w:pPr>
      <w:r w:rsidRPr="00C24766">
        <w:rPr>
          <w:rStyle w:val="EndnoteReference"/>
        </w:rPr>
        <w:endnoteRef/>
      </w:r>
      <w:r w:rsidRPr="00C24766">
        <w:rPr>
          <w:rStyle w:val="EndnoteReference"/>
          <w:szCs w:val="20"/>
        </w:rPr>
        <w:t>[3]</w:t>
      </w:r>
      <w:r w:rsidRPr="00C24766">
        <w:rPr>
          <w:szCs w:val="20"/>
        </w:rPr>
        <w:t xml:space="preserve"> Those states who have provided a right to arms guarantee are: Alabama, Alaska, Arizona, Arkansas, Colorado, Connecticut, Delaware, Florida, Georgia, Hawaii, Idaho, Illinois, Indiana, Kansas, Kentucky, Louisiana, Maine, Massachusetts, Michigan, Mississippi, Missouri, Montana, Nebraska, North Carolina, North Dakota, Nevada, New Hampshire, New Mexico, Ohio, Oklahoma, Oregon, Pennsylvania, Rhode Island, South Carolina, South Dakota, Tennessee, Texas, Utah, Vermont, Virginia,  Washington, West Virginia, Wisconsin and Wyoming.  The states that have not included an arms right provision in their state constitutions are: California, Iowa, Maryland, Minnesota, New Jersey and New York.  All past and present state constitution arms rights guarantees may be found at Eugene </w:t>
      </w:r>
      <w:proofErr w:type="spellStart"/>
      <w:r w:rsidRPr="00C24766">
        <w:rPr>
          <w:szCs w:val="20"/>
        </w:rPr>
        <w:t>Volokh</w:t>
      </w:r>
      <w:proofErr w:type="spellEnd"/>
      <w:r w:rsidRPr="00C24766">
        <w:rPr>
          <w:szCs w:val="20"/>
        </w:rPr>
        <w:t xml:space="preserve">, </w:t>
      </w:r>
      <w:r w:rsidRPr="00C24766">
        <w:rPr>
          <w:i/>
          <w:szCs w:val="20"/>
        </w:rPr>
        <w:t>State Constitutional Right to Keep and Bear Arms</w:t>
      </w:r>
    </w:p>
    <w:p w:rsidR="00C24766" w:rsidRPr="00C24766" w:rsidRDefault="00C24766" w:rsidP="00C24766">
      <w:pPr>
        <w:pStyle w:val="NormalWeb"/>
        <w:numPr>
          <w:ilvl w:val="12"/>
          <w:numId w:val="0"/>
        </w:numPr>
        <w:spacing w:before="0" w:beforeAutospacing="0" w:after="0" w:afterAutospacing="0"/>
      </w:pPr>
      <w:r w:rsidRPr="00C24766">
        <w:rPr>
          <w:i/>
          <w:szCs w:val="20"/>
        </w:rPr>
        <w:t xml:space="preserve"> </w:t>
      </w:r>
      <w:proofErr w:type="gramStart"/>
      <w:r w:rsidRPr="00C24766">
        <w:rPr>
          <w:i/>
          <w:szCs w:val="20"/>
        </w:rPr>
        <w:t xml:space="preserve">Provisions </w:t>
      </w:r>
      <w:r w:rsidRPr="00C24766">
        <w:rPr>
          <w:szCs w:val="20"/>
        </w:rPr>
        <w:t>(visited Feb. 20, 2002) &lt;</w:t>
      </w:r>
      <w:hyperlink r:id="rId3" w:history="1">
        <w:r w:rsidRPr="00C24766">
          <w:rPr>
            <w:rStyle w:val="Hyperlink"/>
            <w:szCs w:val="20"/>
          </w:rPr>
          <w:t>http://www.law.ucla.edu/faculty/volokh/beararms/statecon.htm</w:t>
        </w:r>
      </w:hyperlink>
      <w:r w:rsidRPr="00C24766">
        <w:rPr>
          <w:szCs w:val="20"/>
        </w:rPr>
        <w:t>&gt;.</w:t>
      </w:r>
      <w:proofErr w:type="gramEnd"/>
    </w:p>
  </w:endnote>
  <w:endnote w:id="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w:t>
      </w:r>
      <w:r w:rsidRPr="00C24766">
        <w:rPr>
          <w:szCs w:val="20"/>
        </w:rPr>
        <w:t xml:space="preserve"> For example, the rights of free exercise of religion and of freedom from religious discrimination are protected by only 34 state constitutions.</w:t>
      </w:r>
      <w:r w:rsidRPr="00C24766">
        <w:rPr>
          <w:caps/>
          <w:szCs w:val="20"/>
        </w:rPr>
        <w:t xml:space="preserve"> </w:t>
      </w:r>
      <w:r w:rsidRPr="00C24766">
        <w:rPr>
          <w:i/>
          <w:caps/>
          <w:szCs w:val="20"/>
        </w:rPr>
        <w:t xml:space="preserve">  </w:t>
      </w:r>
      <w:r w:rsidRPr="00C24766">
        <w:rPr>
          <w:i/>
          <w:szCs w:val="20"/>
        </w:rPr>
        <w:t xml:space="preserve">See </w:t>
      </w:r>
      <w:r w:rsidRPr="00C24766">
        <w:rPr>
          <w:caps/>
          <w:szCs w:val="20"/>
        </w:rPr>
        <w:t>Jennifer Friesen, State Constitutional Law: Litigating Individual Rights, Claims and Defenses</w:t>
      </w:r>
      <w:r w:rsidRPr="00C24766">
        <w:rPr>
          <w:szCs w:val="20"/>
        </w:rPr>
        <w:t xml:space="preserve"> App. 4A-12 (1993).</w:t>
      </w:r>
    </w:p>
  </w:endnote>
  <w:endnote w:id="5">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[5]</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4" w:history="1">
        <w:r w:rsidRPr="00C24766">
          <w:rPr>
            <w:rStyle w:val="Hyperlink"/>
            <w:szCs w:val="20"/>
          </w:rPr>
          <w:t>http://www.law.ucla.edu/faculty/volokh/beararms/statecon.htm</w:t>
        </w:r>
      </w:hyperlink>
      <w:r w:rsidRPr="00C24766">
        <w:rPr>
          <w:szCs w:val="20"/>
        </w:rPr>
        <w:t>&gt;.</w:t>
      </w:r>
    </w:p>
  </w:endnote>
  <w:endnote w:id="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w:t>
      </w:r>
      <w:r w:rsidRPr="00C24766">
        <w:rPr>
          <w:szCs w:val="20"/>
        </w:rPr>
        <w:t xml:space="preserve"> </w:t>
      </w:r>
      <w:r w:rsidRPr="00C24766">
        <w:rPr>
          <w:i/>
          <w:szCs w:val="20"/>
        </w:rPr>
        <w:t>See U.S. Constitution: Amendments</w:t>
      </w:r>
      <w:r w:rsidRPr="00C24766">
        <w:rPr>
          <w:szCs w:val="20"/>
        </w:rPr>
        <w:t xml:space="preserve"> (visited Feb. 21, 2002) &lt;</w:t>
      </w:r>
      <w:hyperlink r:id="rId5" w:history="1">
        <w:r w:rsidRPr="00C24766">
          <w:rPr>
            <w:rStyle w:val="Hyperlink"/>
            <w:szCs w:val="20"/>
          </w:rPr>
          <w:t>http://caselaw.lp.findlaw.com/data/constitution/amendments/html</w:t>
        </w:r>
      </w:hyperlink>
      <w:r w:rsidRPr="00C24766">
        <w:rPr>
          <w:szCs w:val="20"/>
        </w:rPr>
        <w:t>&gt;.</w:t>
      </w:r>
    </w:p>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[7]</w:t>
      </w:r>
      <w:r w:rsidRPr="00C24766">
        <w:rPr>
          <w:szCs w:val="20"/>
        </w:rPr>
        <w:t xml:space="preserve"> </w:t>
      </w:r>
      <w:r w:rsidRPr="00C24766">
        <w:rPr>
          <w:i/>
          <w:szCs w:val="20"/>
        </w:rPr>
        <w:t xml:space="preserve">See id. </w:t>
      </w:r>
    </w:p>
  </w:endnote>
  <w:endnote w:id="7">
    <w:p w:rsidR="00C24766" w:rsidRPr="00C24766" w:rsidRDefault="00C24766" w:rsidP="00C24766"/>
  </w:endnote>
  <w:endnote w:id="8">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[8]</w:t>
      </w:r>
      <w:r w:rsidRPr="00C24766">
        <w:rPr>
          <w:szCs w:val="20"/>
        </w:rPr>
        <w:t xml:space="preserve"> </w:t>
      </w:r>
      <w:r w:rsidRPr="00C24766">
        <w:rPr>
          <w:caps/>
          <w:szCs w:val="20"/>
        </w:rPr>
        <w:t xml:space="preserve">Pa. </w:t>
      </w:r>
      <w:proofErr w:type="gramStart"/>
      <w:r w:rsidRPr="00C24766">
        <w:rPr>
          <w:caps/>
          <w:szCs w:val="20"/>
        </w:rPr>
        <w:t xml:space="preserve">Const. </w:t>
      </w:r>
      <w:r w:rsidRPr="00C24766">
        <w:rPr>
          <w:szCs w:val="20"/>
        </w:rPr>
        <w:t>art.</w:t>
      </w:r>
      <w:proofErr w:type="gramEnd"/>
      <w:r w:rsidRPr="00C24766">
        <w:rPr>
          <w:szCs w:val="20"/>
        </w:rPr>
        <w:t xml:space="preserve"> 1,</w:t>
      </w:r>
      <w:proofErr w:type="gramStart"/>
      <w:r w:rsidRPr="00C24766">
        <w:rPr>
          <w:szCs w:val="20"/>
        </w:rPr>
        <w:t>  sec</w:t>
      </w:r>
      <w:proofErr w:type="gramEnd"/>
      <w:r w:rsidRPr="00C24766">
        <w:rPr>
          <w:szCs w:val="20"/>
        </w:rPr>
        <w:t xml:space="preserve">. 21. </w:t>
      </w:r>
    </w:p>
  </w:endnote>
  <w:endnote w:id="9">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[9]</w:t>
      </w:r>
      <w:r w:rsidRPr="00C24766">
        <w:rPr>
          <w:szCs w:val="20"/>
        </w:rPr>
        <w:t xml:space="preserve"> </w:t>
      </w:r>
      <w:r w:rsidRPr="00C24766">
        <w:rPr>
          <w:caps/>
          <w:szCs w:val="20"/>
        </w:rPr>
        <w:t xml:space="preserve">Pa. Const. </w:t>
      </w:r>
      <w:r w:rsidRPr="00C24766">
        <w:rPr>
          <w:szCs w:val="20"/>
        </w:rPr>
        <w:t>of 1776</w:t>
      </w:r>
      <w:r w:rsidRPr="00C24766">
        <w:rPr>
          <w:caps/>
          <w:szCs w:val="20"/>
        </w:rPr>
        <w:t xml:space="preserve">, </w:t>
      </w:r>
      <w:r w:rsidRPr="00C24766">
        <w:rPr>
          <w:szCs w:val="20"/>
        </w:rPr>
        <w:t>Declaration of Rights, cl. XIII.</w:t>
      </w:r>
    </w:p>
  </w:endnote>
  <w:endnote w:id="10">
    <w:p w:rsidR="00C24766" w:rsidRPr="00C24766" w:rsidRDefault="00C24766" w:rsidP="00C24766">
      <w:pPr>
        <w:pStyle w:val="NormalWeb"/>
        <w:numPr>
          <w:ilvl w:val="12"/>
          <w:numId w:val="0"/>
        </w:numPr>
        <w:spacing w:before="0" w:beforeAutospacing="0" w:after="0" w:afterAutospacing="0"/>
        <w:jc w:val="both"/>
        <w:rPr>
          <w:caps/>
        </w:rPr>
      </w:pPr>
      <w:r w:rsidRPr="00C24766">
        <w:rPr>
          <w:rStyle w:val="EndnoteReference"/>
        </w:rPr>
        <w:endnoteRef/>
      </w:r>
      <w:r w:rsidRPr="00C24766">
        <w:rPr>
          <w:rStyle w:val="EndnoteReference"/>
          <w:szCs w:val="20"/>
        </w:rPr>
        <w:t>[10]</w:t>
      </w:r>
      <w:r w:rsidRPr="00C24766">
        <w:rPr>
          <w:i/>
          <w:szCs w:val="20"/>
        </w:rPr>
        <w:t xml:space="preserve"> See, e.g.</w:t>
      </w:r>
      <w:r w:rsidRPr="00C24766">
        <w:rPr>
          <w:szCs w:val="20"/>
        </w:rPr>
        <w:t xml:space="preserve">, David </w:t>
      </w:r>
      <w:proofErr w:type="spellStart"/>
      <w:r w:rsidRPr="00C24766">
        <w:rPr>
          <w:szCs w:val="20"/>
        </w:rPr>
        <w:t>Yassky</w:t>
      </w:r>
      <w:proofErr w:type="spellEnd"/>
      <w:r w:rsidRPr="00C24766">
        <w:rPr>
          <w:szCs w:val="20"/>
        </w:rPr>
        <w:t xml:space="preserve">, </w:t>
      </w:r>
      <w:proofErr w:type="gramStart"/>
      <w:r w:rsidRPr="00C24766">
        <w:rPr>
          <w:i/>
          <w:szCs w:val="20"/>
        </w:rPr>
        <w:t>The</w:t>
      </w:r>
      <w:proofErr w:type="gramEnd"/>
      <w:r w:rsidRPr="00C24766">
        <w:rPr>
          <w:i/>
          <w:szCs w:val="20"/>
        </w:rPr>
        <w:t xml:space="preserve"> Second Amendment: Structure, History and Constitutional Change, </w:t>
      </w:r>
      <w:r w:rsidRPr="00C24766">
        <w:rPr>
          <w:caps/>
          <w:szCs w:val="20"/>
        </w:rPr>
        <w:t>99 Mich. L. Rev. 588, 589 (2000).</w:t>
      </w:r>
    </w:p>
  </w:endnote>
  <w:endnote w:id="1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w:t>
      </w:r>
      <w:r w:rsidRPr="00C24766">
        <w:rPr>
          <w:szCs w:val="20"/>
        </w:rPr>
        <w:t xml:space="preserve"> </w:t>
      </w:r>
      <w:r w:rsidRPr="00C24766">
        <w:rPr>
          <w:caps/>
          <w:szCs w:val="20"/>
        </w:rPr>
        <w:t xml:space="preserve">Pa. </w:t>
      </w:r>
      <w:proofErr w:type="gramStart"/>
      <w:r w:rsidRPr="00C24766">
        <w:rPr>
          <w:caps/>
          <w:szCs w:val="20"/>
        </w:rPr>
        <w:t xml:space="preserve">Const. </w:t>
      </w:r>
      <w:r w:rsidRPr="00C24766">
        <w:rPr>
          <w:szCs w:val="20"/>
        </w:rPr>
        <w:t xml:space="preserve">of 1776, Declaration of Rights, cl. XIII; </w:t>
      </w:r>
      <w:r w:rsidRPr="00C24766">
        <w:rPr>
          <w:caps/>
          <w:szCs w:val="20"/>
        </w:rPr>
        <w:t>Pa.</w:t>
      </w:r>
      <w:proofErr w:type="gramEnd"/>
      <w:r w:rsidRPr="00C24766">
        <w:rPr>
          <w:caps/>
          <w:szCs w:val="20"/>
        </w:rPr>
        <w:t xml:space="preserve">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1, § 21.</w:t>
      </w:r>
      <w:proofErr w:type="gramEnd"/>
    </w:p>
  </w:endnote>
  <w:endnote w:id="1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w:t>
      </w:r>
      <w:r w:rsidRPr="00C24766">
        <w:rPr>
          <w:szCs w:val="20"/>
        </w:rPr>
        <w:t xml:space="preserve"> </w:t>
      </w:r>
      <w:r w:rsidRPr="00C24766">
        <w:rPr>
          <w:i/>
          <w:szCs w:val="20"/>
        </w:rPr>
        <w:t>See, e.g</w:t>
      </w:r>
      <w:r w:rsidRPr="00C24766">
        <w:rPr>
          <w:szCs w:val="20"/>
        </w:rPr>
        <w:t xml:space="preserve">., </w:t>
      </w:r>
      <w:hyperlink r:id="rId6" w:history="1">
        <w:r w:rsidRPr="00C24766">
          <w:rPr>
            <w:rStyle w:val="Hyperlink"/>
            <w:szCs w:val="20"/>
          </w:rPr>
          <w:t>Ortiz v. Commonwealth</w:t>
        </w:r>
      </w:hyperlink>
      <w:r w:rsidRPr="00C24766">
        <w:rPr>
          <w:szCs w:val="20"/>
        </w:rPr>
        <w:t>, 681 A.2d 152 (Pa. 1996) (declaring that the individual right to possess firearms was a matter of statewide concern; therefore, the legislature’s preemption of local "assault weapon" ban was proper);  (holding an act prohibiting carrying concealed weapons is consistent with the Pennsylvania Bill of Rights, saving the right of citizens to bear arms in defense of themselves and the state).</w:t>
      </w:r>
    </w:p>
  </w:endnote>
  <w:endnote w:id="1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w:t>
      </w:r>
      <w:r w:rsidRPr="00C24766">
        <w:rPr>
          <w:szCs w:val="20"/>
        </w:rPr>
        <w:t xml:space="preserve"> </w:t>
      </w:r>
      <w:hyperlink r:id="rId7" w:history="1">
        <w:proofErr w:type="spellStart"/>
        <w:proofErr w:type="gramStart"/>
        <w:r w:rsidRPr="00C24766">
          <w:rPr>
            <w:rStyle w:val="Hyperlink"/>
            <w:szCs w:val="20"/>
          </w:rPr>
          <w:t>Muscarello</w:t>
        </w:r>
        <w:proofErr w:type="spellEnd"/>
        <w:r w:rsidRPr="00C24766">
          <w:rPr>
            <w:rStyle w:val="Hyperlink"/>
            <w:szCs w:val="20"/>
          </w:rPr>
          <w:t xml:space="preserve"> v. U.S</w:t>
        </w:r>
      </w:hyperlink>
      <w:r w:rsidRPr="00C24766">
        <w:rPr>
          <w:szCs w:val="20"/>
        </w:rPr>
        <w:t>., 524 U.S. 125, 150 (1998) (Ginsburg, J., dissenting).</w:t>
      </w:r>
      <w:proofErr w:type="gramEnd"/>
    </w:p>
  </w:endnote>
  <w:endnote w:id="14">
    <w:p w:rsidR="00C24766" w:rsidRPr="00C24766" w:rsidRDefault="00C24766" w:rsidP="00C24766">
      <w:pPr>
        <w:pStyle w:val="NormalWeb"/>
        <w:numPr>
          <w:ilvl w:val="12"/>
          <w:numId w:val="0"/>
        </w:numPr>
        <w:spacing w:before="0" w:beforeAutospacing="0" w:after="0" w:afterAutospacing="0"/>
        <w:jc w:val="both"/>
        <w:rPr>
          <w:i/>
          <w:szCs w:val="20"/>
        </w:rPr>
      </w:pPr>
      <w:r w:rsidRPr="00C24766">
        <w:rPr>
          <w:rStyle w:val="EndnoteReference"/>
        </w:rPr>
        <w:endnoteRef/>
      </w:r>
      <w:r w:rsidRPr="00C24766">
        <w:rPr>
          <w:rStyle w:val="EndnoteReference"/>
          <w:szCs w:val="20"/>
        </w:rPr>
        <w:t>[14]</w:t>
      </w:r>
      <w:r w:rsidRPr="00C24766">
        <w:rPr>
          <w:szCs w:val="20"/>
        </w:rPr>
        <w:t xml:space="preserve"> </w:t>
      </w:r>
      <w:r w:rsidRPr="00C24766">
        <w:rPr>
          <w:i/>
          <w:szCs w:val="20"/>
        </w:rPr>
        <w:t>Id.</w:t>
      </w:r>
    </w:p>
  </w:endnote>
  <w:endnote w:id="15">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[15]</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8" w:history="1">
        <w:r w:rsidRPr="00C24766">
          <w:rPr>
            <w:rStyle w:val="Hyperlink"/>
            <w:szCs w:val="20"/>
          </w:rPr>
          <w:t>http://www.law.ucla.edu/faculty/volokh/beararms/statecon.htm</w:t>
        </w:r>
      </w:hyperlink>
      <w:r w:rsidRPr="00C24766">
        <w:rPr>
          <w:szCs w:val="20"/>
        </w:rPr>
        <w:t>&gt;.</w:t>
      </w:r>
    </w:p>
  </w:endnote>
  <w:endnote w:id="16">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[16]</w:t>
      </w:r>
      <w:r w:rsidRPr="00C24766">
        <w:rPr>
          <w:szCs w:val="20"/>
        </w:rPr>
        <w:t xml:space="preserve"> </w:t>
      </w:r>
      <w:r w:rsidRPr="00C24766">
        <w:rPr>
          <w:caps/>
          <w:szCs w:val="20"/>
        </w:rPr>
        <w:t xml:space="preserve">Vt. </w:t>
      </w:r>
      <w:proofErr w:type="gramStart"/>
      <w:r w:rsidRPr="00C24766">
        <w:rPr>
          <w:caps/>
          <w:szCs w:val="20"/>
        </w:rPr>
        <w:t xml:space="preserve">Const. </w:t>
      </w:r>
      <w:proofErr w:type="spellStart"/>
      <w:r w:rsidRPr="00C24766">
        <w:rPr>
          <w:szCs w:val="20"/>
        </w:rPr>
        <w:t>ch</w:t>
      </w:r>
      <w:proofErr w:type="spellEnd"/>
      <w:r w:rsidRPr="00C24766">
        <w:rPr>
          <w:szCs w:val="20"/>
        </w:rPr>
        <w:t>.</w:t>
      </w:r>
      <w:proofErr w:type="gramEnd"/>
      <w:r w:rsidRPr="00C24766">
        <w:rPr>
          <w:szCs w:val="20"/>
        </w:rPr>
        <w:t xml:space="preserve"> I, art. 16.  </w:t>
      </w:r>
    </w:p>
  </w:endnote>
  <w:endnote w:id="17">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[17]</w:t>
      </w:r>
      <w:r w:rsidRPr="00C24766">
        <w:rPr>
          <w:szCs w:val="20"/>
        </w:rPr>
        <w:t xml:space="preserve">  </w:t>
      </w:r>
      <w:hyperlink r:id="rId9" w:history="1">
        <w:proofErr w:type="gramStart"/>
        <w:r w:rsidRPr="00C24766">
          <w:rPr>
            <w:rStyle w:val="Hyperlink"/>
            <w:szCs w:val="20"/>
          </w:rPr>
          <w:t>State v. Rosenthal</w:t>
        </w:r>
      </w:hyperlink>
      <w:r w:rsidRPr="00C24766">
        <w:rPr>
          <w:szCs w:val="20"/>
        </w:rPr>
        <w:t>, 55 A. 610 (Vt. 1903).</w:t>
      </w:r>
      <w:proofErr w:type="gramEnd"/>
    </w:p>
  </w:endnote>
  <w:endnote w:id="18">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[18]</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10" w:history="1">
        <w:r w:rsidRPr="00C24766">
          <w:rPr>
            <w:rStyle w:val="Hyperlink"/>
            <w:szCs w:val="20"/>
          </w:rPr>
          <w:t>http://www.law.ucla.edu/faculty/volokh/beararms/statecon.htm</w:t>
        </w:r>
      </w:hyperlink>
      <w:r w:rsidRPr="00C24766">
        <w:rPr>
          <w:szCs w:val="20"/>
        </w:rPr>
        <w:t>&gt;.</w:t>
      </w:r>
    </w:p>
  </w:endnote>
  <w:endnote w:id="19">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[19]</w:t>
      </w:r>
      <w:r w:rsidRPr="00C24766">
        <w:rPr>
          <w:szCs w:val="20"/>
        </w:rPr>
        <w:t xml:space="preserve"> </w:t>
      </w:r>
      <w:proofErr w:type="gramStart"/>
      <w:r w:rsidRPr="00C24766">
        <w:rPr>
          <w:szCs w:val="20"/>
        </w:rPr>
        <w:t xml:space="preserve">N.C. </w:t>
      </w:r>
      <w:r w:rsidRPr="00C24766">
        <w:rPr>
          <w:caps/>
          <w:szCs w:val="20"/>
        </w:rPr>
        <w:t xml:space="preserve">Const. </w:t>
      </w:r>
      <w:r w:rsidRPr="00C24766">
        <w:rPr>
          <w:szCs w:val="20"/>
        </w:rPr>
        <w:t>of 1776, Bill of Rights, § XVII.</w:t>
      </w:r>
      <w:proofErr w:type="gramEnd"/>
    </w:p>
  </w:endnote>
  <w:endnote w:id="2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[20]</w:t>
      </w:r>
      <w:r w:rsidRPr="00C24766">
        <w:rPr>
          <w:szCs w:val="20"/>
        </w:rPr>
        <w:t xml:space="preserve"> </w:t>
      </w:r>
      <w:proofErr w:type="gramStart"/>
      <w:r w:rsidRPr="00C24766">
        <w:rPr>
          <w:caps/>
          <w:szCs w:val="20"/>
        </w:rPr>
        <w:t>1 Annals of Cong.</w:t>
      </w:r>
      <w:r w:rsidRPr="00C24766">
        <w:rPr>
          <w:szCs w:val="20"/>
        </w:rPr>
        <w:t xml:space="preserve"> 460 (Joseph Gales ed., 1789).</w:t>
      </w:r>
      <w:proofErr w:type="gramEnd"/>
    </w:p>
  </w:endnote>
  <w:endnote w:id="2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[21]</w:t>
      </w:r>
      <w:r w:rsidRPr="00C24766">
        <w:rPr>
          <w:szCs w:val="20"/>
        </w:rPr>
        <w:t xml:space="preserve"> </w:t>
      </w:r>
      <w:proofErr w:type="gramStart"/>
      <w:r w:rsidRPr="00C24766">
        <w:rPr>
          <w:szCs w:val="20"/>
        </w:rPr>
        <w:t xml:space="preserve">N.C. </w:t>
      </w:r>
      <w:r w:rsidRPr="00C24766">
        <w:rPr>
          <w:caps/>
          <w:szCs w:val="20"/>
        </w:rPr>
        <w:t xml:space="preserve">Const. </w:t>
      </w:r>
      <w:r w:rsidRPr="00C24766">
        <w:rPr>
          <w:szCs w:val="20"/>
        </w:rPr>
        <w:t>of 1776, Bill of Rights, § XVII.</w:t>
      </w:r>
      <w:proofErr w:type="gramEnd"/>
    </w:p>
  </w:endnote>
  <w:endnote w:id="22">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[22]</w:t>
      </w:r>
      <w:r w:rsidRPr="00C24766">
        <w:rPr>
          <w:szCs w:val="20"/>
        </w:rPr>
        <w:t xml:space="preserve"> Garry </w:t>
      </w:r>
      <w:proofErr w:type="gramStart"/>
      <w:r w:rsidRPr="00C24766">
        <w:rPr>
          <w:szCs w:val="20"/>
        </w:rPr>
        <w:t>Wills,</w:t>
      </w:r>
      <w:proofErr w:type="gramEnd"/>
      <w:r w:rsidRPr="00C24766">
        <w:rPr>
          <w:szCs w:val="20"/>
        </w:rPr>
        <w:t xml:space="preserve"> </w:t>
      </w:r>
      <w:r w:rsidRPr="00C24766">
        <w:rPr>
          <w:i/>
          <w:szCs w:val="20"/>
        </w:rPr>
        <w:t xml:space="preserve">Why We Have No Right to Keep and Bear Arms, </w:t>
      </w:r>
      <w:r w:rsidRPr="00C24766">
        <w:rPr>
          <w:caps/>
          <w:szCs w:val="20"/>
        </w:rPr>
        <w:t>N.Y. Rev. Books, S</w:t>
      </w:r>
      <w:r w:rsidRPr="00C24766">
        <w:rPr>
          <w:szCs w:val="20"/>
        </w:rPr>
        <w:t>ept. 21, 1995, at 62.</w:t>
      </w:r>
    </w:p>
  </w:endnote>
  <w:endnote w:id="23">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[23]</w:t>
      </w:r>
      <w:r w:rsidRPr="00C24766">
        <w:rPr>
          <w:szCs w:val="20"/>
        </w:rPr>
        <w:t xml:space="preserve">  </w:t>
      </w:r>
      <w:r w:rsidRPr="00C24766">
        <w:rPr>
          <w:i/>
          <w:szCs w:val="20"/>
        </w:rPr>
        <w:t xml:space="preserve">See, e.g., </w:t>
      </w:r>
      <w:hyperlink r:id="rId11" w:history="1">
        <w:r w:rsidRPr="00C24766">
          <w:rPr>
            <w:rStyle w:val="Hyperlink"/>
            <w:szCs w:val="20"/>
          </w:rPr>
          <w:t xml:space="preserve">Love v. </w:t>
        </w:r>
        <w:proofErr w:type="spellStart"/>
        <w:r w:rsidRPr="00C24766">
          <w:rPr>
            <w:rStyle w:val="Hyperlink"/>
            <w:szCs w:val="20"/>
          </w:rPr>
          <w:t>Pepersack</w:t>
        </w:r>
        <w:proofErr w:type="spellEnd"/>
      </w:hyperlink>
      <w:r w:rsidRPr="00C24766">
        <w:rPr>
          <w:szCs w:val="20"/>
        </w:rPr>
        <w:t xml:space="preserve">, 47 F.3d 120, 124 (4th Cir. 1995); </w:t>
      </w:r>
      <w:hyperlink r:id="rId12" w:history="1">
        <w:r w:rsidRPr="00C24766">
          <w:rPr>
            <w:rStyle w:val="Hyperlink"/>
            <w:szCs w:val="20"/>
          </w:rPr>
          <w:t>Hickman v. Block</w:t>
        </w:r>
      </w:hyperlink>
      <w:r w:rsidRPr="00C24766">
        <w:rPr>
          <w:szCs w:val="20"/>
        </w:rPr>
        <w:t xml:space="preserve">, 81 F.3d 98, 101 (9th Cir. 1996); U.S. v. </w:t>
      </w:r>
      <w:proofErr w:type="spellStart"/>
      <w:r w:rsidRPr="00C24766">
        <w:rPr>
          <w:szCs w:val="20"/>
        </w:rPr>
        <w:t>Wann</w:t>
      </w:r>
      <w:proofErr w:type="spellEnd"/>
      <w:r w:rsidRPr="00C24766">
        <w:rPr>
          <w:szCs w:val="20"/>
        </w:rPr>
        <w:t xml:space="preserve">, 530 F.2d 103,106 (6th Cir. 1976); </w:t>
      </w:r>
      <w:hyperlink r:id="rId13" w:history="1">
        <w:r w:rsidRPr="00C24766">
          <w:rPr>
            <w:rStyle w:val="Hyperlink"/>
            <w:szCs w:val="20"/>
          </w:rPr>
          <w:t xml:space="preserve">Gillespie v. City of </w:t>
        </w:r>
      </w:hyperlink>
      <w:hyperlink r:id="rId14" w:history="1">
        <w:r w:rsidRPr="00C24766">
          <w:rPr>
            <w:rStyle w:val="Hyperlink"/>
            <w:szCs w:val="20"/>
          </w:rPr>
          <w:t>Indianapolis</w:t>
        </w:r>
      </w:hyperlink>
      <w:r w:rsidRPr="00C24766">
        <w:rPr>
          <w:szCs w:val="20"/>
        </w:rPr>
        <w:t>, 185 F.3d 693, 710 (7th Cir. 1999) (all concluding the Second Amendment protects a collective right of the people to bear arms).</w:t>
      </w:r>
    </w:p>
  </w:endnote>
  <w:endnote w:id="2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[24]</w:t>
      </w:r>
      <w:r w:rsidRPr="00C24766">
        <w:rPr>
          <w:szCs w:val="20"/>
        </w:rPr>
        <w:t xml:space="preserve"> </w:t>
      </w:r>
      <w:r w:rsidRPr="00C24766">
        <w:rPr>
          <w:i/>
          <w:szCs w:val="20"/>
        </w:rPr>
        <w:t xml:space="preserve">See </w:t>
      </w:r>
      <w:hyperlink r:id="rId15" w:history="1">
        <w:r w:rsidRPr="00C24766">
          <w:rPr>
            <w:rStyle w:val="Hyperlink"/>
            <w:szCs w:val="20"/>
          </w:rPr>
          <w:t>State</w:t>
        </w:r>
      </w:hyperlink>
      <w:hyperlink r:id="rId16" w:history="1">
        <w:r w:rsidRPr="00C24766">
          <w:rPr>
            <w:rStyle w:val="Hyperlink"/>
            <w:szCs w:val="20"/>
          </w:rPr>
          <w:t xml:space="preserve"> v. </w:t>
        </w:r>
        <w:proofErr w:type="spellStart"/>
        <w:r w:rsidRPr="00C24766">
          <w:rPr>
            <w:rStyle w:val="Hyperlink"/>
            <w:szCs w:val="20"/>
          </w:rPr>
          <w:t>Kerner</w:t>
        </w:r>
        <w:proofErr w:type="spellEnd"/>
      </w:hyperlink>
      <w:r w:rsidRPr="00C24766">
        <w:rPr>
          <w:szCs w:val="20"/>
        </w:rPr>
        <w:t>, 107 S.E. 222 (N.C. 1921) (upholding constitutional right to possess ordinary rifles, shotguns and handguns).</w:t>
      </w:r>
    </w:p>
  </w:endnote>
  <w:endnote w:id="2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[25]</w:t>
      </w:r>
      <w:r w:rsidRPr="00C24766">
        <w:rPr>
          <w:szCs w:val="20"/>
        </w:rPr>
        <w:t xml:space="preserve"> </w:t>
      </w:r>
      <w:proofErr w:type="gramStart"/>
      <w:r w:rsidRPr="00C24766">
        <w:rPr>
          <w:szCs w:val="20"/>
        </w:rPr>
        <w:t xml:space="preserve">N.C. </w:t>
      </w:r>
      <w:r w:rsidRPr="00C24766">
        <w:rPr>
          <w:caps/>
          <w:szCs w:val="20"/>
        </w:rPr>
        <w:t xml:space="preserve">Const. </w:t>
      </w:r>
      <w:r w:rsidRPr="00C24766">
        <w:rPr>
          <w:szCs w:val="20"/>
        </w:rPr>
        <w:t>of 1776, Bill of Rights, § XVII.</w:t>
      </w:r>
      <w:proofErr w:type="gramEnd"/>
    </w:p>
  </w:endnote>
  <w:endnote w:id="26">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[26]</w:t>
      </w:r>
      <w:r w:rsidRPr="00C24766">
        <w:rPr>
          <w:i/>
          <w:szCs w:val="20"/>
        </w:rPr>
        <w:t xml:space="preserve"> </w:t>
      </w:r>
      <w:hyperlink r:id="rId17" w:history="1">
        <w:proofErr w:type="gramStart"/>
        <w:r w:rsidRPr="00C24766">
          <w:rPr>
            <w:rStyle w:val="Hyperlink"/>
            <w:szCs w:val="20"/>
          </w:rPr>
          <w:t>State v. Huntley</w:t>
        </w:r>
      </w:hyperlink>
      <w:r w:rsidRPr="00C24766">
        <w:rPr>
          <w:i/>
          <w:szCs w:val="20"/>
        </w:rPr>
        <w:t>,</w:t>
      </w:r>
      <w:r w:rsidRPr="00C24766">
        <w:rPr>
          <w:szCs w:val="20"/>
        </w:rPr>
        <w:t xml:space="preserve"> 25 N.C. 418, 422 (1843)</w:t>
      </w:r>
      <w:r w:rsidRPr="00C24766">
        <w:rPr>
          <w:i/>
          <w:szCs w:val="20"/>
        </w:rPr>
        <w:t>.</w:t>
      </w:r>
      <w:proofErr w:type="gramEnd"/>
      <w:r w:rsidRPr="00C24766">
        <w:rPr>
          <w:i/>
          <w:szCs w:val="20"/>
        </w:rPr>
        <w:t xml:space="preserve"> See also </w:t>
      </w:r>
      <w:hyperlink r:id="rId18" w:history="1">
        <w:r w:rsidRPr="00C24766">
          <w:rPr>
            <w:rStyle w:val="Hyperlink"/>
            <w:szCs w:val="20"/>
          </w:rPr>
          <w:t>State v. Newsom</w:t>
        </w:r>
      </w:hyperlink>
      <w:r w:rsidRPr="00C24766">
        <w:rPr>
          <w:szCs w:val="20"/>
        </w:rPr>
        <w:t xml:space="preserve">, 27 N.C. (5 </w:t>
      </w:r>
      <w:proofErr w:type="spellStart"/>
      <w:r w:rsidRPr="00C24766">
        <w:rPr>
          <w:szCs w:val="20"/>
        </w:rPr>
        <w:t>Ired</w:t>
      </w:r>
      <w:proofErr w:type="spellEnd"/>
      <w:r w:rsidRPr="00C24766">
        <w:rPr>
          <w:szCs w:val="20"/>
        </w:rPr>
        <w:t xml:space="preserve">.) 250, 251 (1844) (upholding gun licensing law for free people of color only because they, unlike citizens, were not parties to the social compact); </w:t>
      </w:r>
      <w:hyperlink r:id="rId19" w:history="1">
        <w:r w:rsidRPr="00C24766">
          <w:rPr>
            <w:rStyle w:val="Hyperlink"/>
            <w:szCs w:val="20"/>
          </w:rPr>
          <w:t xml:space="preserve">State v. </w:t>
        </w:r>
        <w:proofErr w:type="spellStart"/>
        <w:r w:rsidRPr="00C24766">
          <w:rPr>
            <w:rStyle w:val="Hyperlink"/>
            <w:szCs w:val="20"/>
          </w:rPr>
          <w:t>Kerner</w:t>
        </w:r>
        <w:proofErr w:type="spellEnd"/>
      </w:hyperlink>
      <w:r w:rsidRPr="00C24766">
        <w:rPr>
          <w:szCs w:val="20"/>
        </w:rPr>
        <w:t>, 107 S.E. 222 (N.C. 1921)(upholding constitutional right to possess ordinary rifles, shotguns, and handguns).</w:t>
      </w:r>
    </w:p>
  </w:endnote>
  <w:endnote w:id="27">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[27]</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20" w:history="1">
        <w:r w:rsidRPr="00C24766">
          <w:rPr>
            <w:rStyle w:val="Hyperlink"/>
            <w:szCs w:val="20"/>
          </w:rPr>
          <w:t>http://www.law.ucla.edu/faculty/volokh/beararms/statecon.htm</w:t>
        </w:r>
      </w:hyperlink>
      <w:r w:rsidRPr="00C24766">
        <w:rPr>
          <w:szCs w:val="20"/>
        </w:rPr>
        <w:t>&gt;.</w:t>
      </w:r>
    </w:p>
  </w:endnote>
  <w:endnote w:id="28">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[28]</w:t>
      </w:r>
      <w:r w:rsidRPr="00C24766">
        <w:rPr>
          <w:szCs w:val="20"/>
        </w:rPr>
        <w:t xml:space="preserve"> </w:t>
      </w:r>
      <w:proofErr w:type="gramStart"/>
      <w:r w:rsidRPr="00C24766">
        <w:rPr>
          <w:caps/>
          <w:szCs w:val="20"/>
        </w:rPr>
        <w:t xml:space="preserve">N.C. Const. </w:t>
      </w:r>
      <w:r w:rsidRPr="00C24766">
        <w:rPr>
          <w:szCs w:val="20"/>
        </w:rPr>
        <w:t>of 1868, art.</w:t>
      </w:r>
      <w:proofErr w:type="gramEnd"/>
      <w:r w:rsidRPr="00C24766">
        <w:rPr>
          <w:szCs w:val="20"/>
        </w:rPr>
        <w:t xml:space="preserve"> </w:t>
      </w:r>
      <w:proofErr w:type="gramStart"/>
      <w:r w:rsidRPr="00C24766">
        <w:rPr>
          <w:szCs w:val="20"/>
        </w:rPr>
        <w:t>I, § 24.</w:t>
      </w:r>
      <w:proofErr w:type="gramEnd"/>
    </w:p>
  </w:endnote>
  <w:endnote w:id="2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[29]</w:t>
      </w:r>
      <w:r w:rsidRPr="00C24766">
        <w:rPr>
          <w:szCs w:val="20"/>
        </w:rPr>
        <w:t xml:space="preserve"> </w:t>
      </w:r>
      <w:r w:rsidRPr="00C24766">
        <w:rPr>
          <w:i/>
          <w:szCs w:val="20"/>
        </w:rPr>
        <w:t>See, e.g.</w:t>
      </w:r>
      <w:r w:rsidRPr="00C24766">
        <w:rPr>
          <w:szCs w:val="20"/>
        </w:rPr>
        <w:t xml:space="preserve">, , </w:t>
      </w:r>
      <w:r w:rsidRPr="00C24766">
        <w:rPr>
          <w:i/>
          <w:szCs w:val="20"/>
        </w:rPr>
        <w:t xml:space="preserve">supra </w:t>
      </w:r>
      <w:hyperlink r:id="rId21" w:anchor="_ednref24" w:history="1">
        <w:r w:rsidRPr="00C24766">
          <w:rPr>
            <w:rStyle w:val="Hyperlink"/>
            <w:szCs w:val="20"/>
          </w:rPr>
          <w:t>note 24</w:t>
        </w:r>
      </w:hyperlink>
      <w:r w:rsidRPr="00C24766">
        <w:rPr>
          <w:szCs w:val="20"/>
        </w:rPr>
        <w:t xml:space="preserve"> (pistol carrying license and bond requirement is unconstitutional); </w:t>
      </w:r>
      <w:hyperlink r:id="rId22" w:history="1">
        <w:r w:rsidRPr="00C24766">
          <w:rPr>
            <w:rStyle w:val="Hyperlink"/>
            <w:szCs w:val="20"/>
          </w:rPr>
          <w:t>State v. Dawson</w:t>
        </w:r>
      </w:hyperlink>
      <w:r w:rsidRPr="00C24766">
        <w:rPr>
          <w:szCs w:val="20"/>
        </w:rPr>
        <w:t>, 159 S.E.3d 1, 9 (N.C. 1968) (stating the right is both individual and collective and is not infringed by punishment of persons who bear arms so as to deliberately disturb the peace).</w:t>
      </w:r>
    </w:p>
  </w:endnote>
  <w:endnote w:id="30">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[30]</w:t>
      </w:r>
      <w:r w:rsidRPr="00C24766">
        <w:rPr>
          <w:szCs w:val="20"/>
        </w:rPr>
        <w:t xml:space="preserve"> In 1971, the North Carolina Constitution was reorganized, and the words “General Assembly” replaced “legislature” in the clause about controlling concealed weapons. Art. </w:t>
      </w:r>
      <w:proofErr w:type="gramStart"/>
      <w:r w:rsidRPr="00C24766">
        <w:rPr>
          <w:szCs w:val="20"/>
        </w:rPr>
        <w:t>1, § 30 (1971).</w:t>
      </w:r>
      <w:proofErr w:type="gramEnd"/>
    </w:p>
  </w:endnote>
  <w:endnote w:id="31">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[31]</w:t>
      </w:r>
      <w:r w:rsidRPr="00C24766">
        <w:rPr>
          <w:szCs w:val="20"/>
        </w:rPr>
        <w:t xml:space="preserve"> </w:t>
      </w:r>
      <w:r w:rsidRPr="00C24766">
        <w:rPr>
          <w:i/>
          <w:szCs w:val="20"/>
        </w:rPr>
        <w:t xml:space="preserve">See, e.g., </w:t>
      </w:r>
      <w:hyperlink r:id="rId23" w:history="1">
        <w:proofErr w:type="spellStart"/>
        <w:r w:rsidRPr="00C24766">
          <w:rPr>
            <w:rStyle w:val="Hyperlink"/>
            <w:szCs w:val="20"/>
          </w:rPr>
          <w:t>Kerner</w:t>
        </w:r>
        <w:proofErr w:type="spellEnd"/>
      </w:hyperlink>
      <w:r w:rsidRPr="00C24766">
        <w:rPr>
          <w:szCs w:val="20"/>
        </w:rPr>
        <w:t xml:space="preserve">, 107 S.E. 222 (N.C. 1921); </w:t>
      </w:r>
      <w:r w:rsidRPr="00C24766">
        <w:rPr>
          <w:i/>
          <w:szCs w:val="20"/>
        </w:rPr>
        <w:t xml:space="preserve">see also </w:t>
      </w:r>
      <w:hyperlink r:id="rId24" w:history="1">
        <w:r w:rsidRPr="00C24766">
          <w:rPr>
            <w:rStyle w:val="Hyperlink"/>
            <w:szCs w:val="20"/>
          </w:rPr>
          <w:t xml:space="preserve">State v. </w:t>
        </w:r>
      </w:hyperlink>
      <w:hyperlink r:id="rId25" w:history="1">
        <w:r w:rsidRPr="00C24766">
          <w:rPr>
            <w:rStyle w:val="Hyperlink"/>
            <w:szCs w:val="20"/>
          </w:rPr>
          <w:t>Dawson</w:t>
        </w:r>
      </w:hyperlink>
      <w:r w:rsidRPr="00C24766">
        <w:rPr>
          <w:szCs w:val="20"/>
        </w:rPr>
        <w:t xml:space="preserve">, 159 S.E.2d 1, 9 (N.C. 1968); </w:t>
      </w:r>
      <w:hyperlink r:id="rId26" w:history="1">
        <w:r w:rsidRPr="00C24766">
          <w:rPr>
            <w:rStyle w:val="Hyperlink"/>
            <w:szCs w:val="20"/>
          </w:rPr>
          <w:t>State v. Fennell</w:t>
        </w:r>
      </w:hyperlink>
      <w:r w:rsidRPr="00C24766">
        <w:rPr>
          <w:szCs w:val="20"/>
        </w:rPr>
        <w:t>, 382 S.E.2d 231, 233 (N.C. 1989).</w:t>
      </w:r>
    </w:p>
  </w:endnote>
  <w:endnote w:id="3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[32]</w:t>
      </w:r>
      <w:r w:rsidRPr="00C24766">
        <w:rPr>
          <w:szCs w:val="20"/>
        </w:rPr>
        <w:t xml:space="preserve"> </w:t>
      </w:r>
      <w:r w:rsidRPr="00C24766">
        <w:rPr>
          <w:i/>
          <w:szCs w:val="20"/>
        </w:rPr>
        <w:t>See U.S. Constitution: Amendments</w:t>
      </w:r>
      <w:r w:rsidRPr="00C24766">
        <w:rPr>
          <w:szCs w:val="20"/>
        </w:rPr>
        <w:t xml:space="preserve"> (visited Feb. 21, 2002) &lt;http://caselaw.lp.findlaw.com/data/constitution/amendments.html&gt;.</w:t>
      </w:r>
    </w:p>
  </w:endnote>
  <w:endnote w:id="3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[33]</w:t>
      </w:r>
      <w:r w:rsidRPr="00C24766">
        <w:rPr>
          <w:szCs w:val="20"/>
        </w:rPr>
        <w:t xml:space="preserve"> </w:t>
      </w:r>
      <w:r w:rsidRPr="00C24766">
        <w:rPr>
          <w:caps/>
          <w:szCs w:val="20"/>
        </w:rPr>
        <w:t xml:space="preserve">Ky. </w:t>
      </w:r>
      <w:proofErr w:type="gramStart"/>
      <w:r w:rsidRPr="00C24766">
        <w:rPr>
          <w:caps/>
          <w:szCs w:val="20"/>
        </w:rPr>
        <w:t xml:space="preserve">Const. </w:t>
      </w:r>
      <w:r w:rsidRPr="00C24766">
        <w:rPr>
          <w:szCs w:val="20"/>
        </w:rPr>
        <w:t>of 1792, art.</w:t>
      </w:r>
      <w:proofErr w:type="gramEnd"/>
      <w:r w:rsidRPr="00C24766">
        <w:rPr>
          <w:szCs w:val="20"/>
        </w:rPr>
        <w:t xml:space="preserve"> </w:t>
      </w:r>
      <w:proofErr w:type="gramStart"/>
      <w:r w:rsidRPr="00C24766">
        <w:rPr>
          <w:szCs w:val="20"/>
        </w:rPr>
        <w:t>XII, § 23.</w:t>
      </w:r>
      <w:proofErr w:type="gramEnd"/>
    </w:p>
  </w:endnote>
  <w:endnote w:id="3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[34]</w:t>
      </w:r>
      <w:r w:rsidRPr="00C24766">
        <w:rPr>
          <w:szCs w:val="20"/>
        </w:rPr>
        <w:t xml:space="preserve"> </w:t>
      </w:r>
      <w:r w:rsidRPr="00C24766">
        <w:rPr>
          <w:i/>
          <w:szCs w:val="20"/>
        </w:rPr>
        <w:t xml:space="preserve">Id. </w:t>
      </w:r>
      <w:r w:rsidRPr="00C24766">
        <w:rPr>
          <w:szCs w:val="20"/>
        </w:rPr>
        <w:t>(emphasis added).</w:t>
      </w:r>
    </w:p>
  </w:endnote>
  <w:endnote w:id="3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[35]</w:t>
      </w:r>
      <w:r w:rsidRPr="00C24766">
        <w:rPr>
          <w:szCs w:val="20"/>
        </w:rPr>
        <w:t xml:space="preserve"> </w:t>
      </w:r>
      <w:r w:rsidRPr="00C24766">
        <w:rPr>
          <w:i/>
          <w:szCs w:val="20"/>
        </w:rPr>
        <w:t xml:space="preserve">See </w:t>
      </w:r>
      <w:hyperlink r:id="rId27" w:history="1">
        <w:r w:rsidRPr="00C24766">
          <w:rPr>
            <w:rStyle w:val="Hyperlink"/>
            <w:szCs w:val="20"/>
          </w:rPr>
          <w:t>Bliss v. Commonwealth</w:t>
        </w:r>
      </w:hyperlink>
      <w:r w:rsidRPr="00C24766">
        <w:rPr>
          <w:szCs w:val="20"/>
        </w:rPr>
        <w:t xml:space="preserve">, 12 Ky. (2 </w:t>
      </w:r>
      <w:proofErr w:type="spellStart"/>
      <w:r w:rsidRPr="00C24766">
        <w:rPr>
          <w:szCs w:val="20"/>
        </w:rPr>
        <w:t>Litt</w:t>
      </w:r>
      <w:proofErr w:type="spellEnd"/>
      <w:r w:rsidRPr="00C24766">
        <w:rPr>
          <w:szCs w:val="20"/>
        </w:rPr>
        <w:t xml:space="preserve">.) 90, 92 (1822). </w:t>
      </w:r>
    </w:p>
  </w:endnote>
  <w:endnote w:id="3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[36]</w:t>
      </w:r>
      <w:r w:rsidRPr="00C24766">
        <w:rPr>
          <w:szCs w:val="20"/>
        </w:rPr>
        <w:t xml:space="preserve"> </w:t>
      </w:r>
      <w:r w:rsidRPr="00C24766">
        <w:rPr>
          <w:caps/>
          <w:szCs w:val="20"/>
        </w:rPr>
        <w:t xml:space="preserve">Ky. </w:t>
      </w:r>
      <w:proofErr w:type="gramStart"/>
      <w:r w:rsidRPr="00C24766">
        <w:rPr>
          <w:caps/>
          <w:szCs w:val="20"/>
        </w:rPr>
        <w:t xml:space="preserve">Const. </w:t>
      </w:r>
      <w:r w:rsidRPr="00C24766">
        <w:rPr>
          <w:szCs w:val="20"/>
        </w:rPr>
        <w:t>of 1850, art.</w:t>
      </w:r>
      <w:proofErr w:type="gramEnd"/>
      <w:r w:rsidRPr="00C24766">
        <w:rPr>
          <w:szCs w:val="20"/>
        </w:rPr>
        <w:t xml:space="preserve"> </w:t>
      </w:r>
      <w:proofErr w:type="gramStart"/>
      <w:r w:rsidRPr="00C24766">
        <w:rPr>
          <w:szCs w:val="20"/>
        </w:rPr>
        <w:t>XIII, § 25.</w:t>
      </w:r>
      <w:proofErr w:type="gramEnd"/>
    </w:p>
  </w:endnote>
  <w:endnote w:id="3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[37]</w:t>
      </w:r>
      <w:r w:rsidRPr="00C24766">
        <w:rPr>
          <w:szCs w:val="20"/>
        </w:rPr>
        <w:t xml:space="preserve"> </w:t>
      </w:r>
      <w:r w:rsidRPr="00C24766">
        <w:rPr>
          <w:caps/>
          <w:szCs w:val="20"/>
        </w:rPr>
        <w:t xml:space="preserve">Ky. </w:t>
      </w:r>
      <w:proofErr w:type="gramStart"/>
      <w:r w:rsidRPr="00C24766">
        <w:rPr>
          <w:caps/>
          <w:szCs w:val="20"/>
        </w:rPr>
        <w:t xml:space="preserve">Const. </w:t>
      </w:r>
      <w:r w:rsidRPr="00C24766">
        <w:rPr>
          <w:szCs w:val="20"/>
        </w:rPr>
        <w:t>Bill of Rights sec. 1.</w:t>
      </w:r>
      <w:proofErr w:type="gramEnd"/>
    </w:p>
  </w:endnote>
  <w:endnote w:id="3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[38]</w:t>
      </w:r>
      <w:r w:rsidRPr="00C24766">
        <w:rPr>
          <w:szCs w:val="20"/>
        </w:rPr>
        <w:t xml:space="preserve"> </w:t>
      </w:r>
      <w:r w:rsidRPr="00C24766">
        <w:rPr>
          <w:i/>
          <w:szCs w:val="20"/>
        </w:rPr>
        <w:t>Order in Which States Joined the Union</w:t>
      </w:r>
      <w:r w:rsidRPr="00C24766">
        <w:rPr>
          <w:szCs w:val="20"/>
        </w:rPr>
        <w:t xml:space="preserve"> (visited Feb. 20, 2002) &lt;http://www.brittanica.com/eb/article?eu=121257&amp;tocid=214534&gt;.</w:t>
      </w:r>
    </w:p>
  </w:endnote>
  <w:endnote w:id="3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[39]</w:t>
      </w:r>
      <w:r w:rsidRPr="00C24766">
        <w:rPr>
          <w:szCs w:val="20"/>
        </w:rPr>
        <w:t xml:space="preserve"> Both states made slight alterations in punctuation and capitalization to conform to modern usage.</w:t>
      </w:r>
    </w:p>
  </w:endnote>
  <w:endnote w:id="4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[40]</w:t>
      </w:r>
      <w:r w:rsidRPr="00C24766">
        <w:rPr>
          <w:szCs w:val="20"/>
        </w:rPr>
        <w:t xml:space="preserve"> </w:t>
      </w:r>
      <w:proofErr w:type="gramStart"/>
      <w:r w:rsidRPr="00C24766">
        <w:rPr>
          <w:caps/>
          <w:szCs w:val="20"/>
        </w:rPr>
        <w:t xml:space="preserve">Alaska Const. </w:t>
      </w:r>
      <w:r w:rsidRPr="00C24766">
        <w:rPr>
          <w:szCs w:val="20"/>
        </w:rPr>
        <w:t>of</w:t>
      </w:r>
      <w:r w:rsidRPr="00C24766">
        <w:rPr>
          <w:caps/>
          <w:szCs w:val="20"/>
        </w:rPr>
        <w:t xml:space="preserve"> 1959</w:t>
      </w:r>
      <w:r w:rsidRPr="00C24766">
        <w:rPr>
          <w:szCs w:val="20"/>
        </w:rPr>
        <w:t>, art.</w:t>
      </w:r>
      <w:proofErr w:type="gramEnd"/>
      <w:r w:rsidRPr="00C24766">
        <w:rPr>
          <w:szCs w:val="20"/>
        </w:rPr>
        <w:t xml:space="preserve"> </w:t>
      </w:r>
      <w:proofErr w:type="gramStart"/>
      <w:r w:rsidRPr="00C24766">
        <w:rPr>
          <w:szCs w:val="20"/>
        </w:rPr>
        <w:t xml:space="preserve">I, § 19; </w:t>
      </w:r>
      <w:r w:rsidRPr="00C24766">
        <w:rPr>
          <w:caps/>
          <w:szCs w:val="20"/>
        </w:rPr>
        <w:t>Haw.</w:t>
      </w:r>
      <w:proofErr w:type="gramEnd"/>
      <w:r w:rsidRPr="00C24766">
        <w:rPr>
          <w:caps/>
          <w:szCs w:val="20"/>
        </w:rPr>
        <w:t xml:space="preserve"> </w:t>
      </w:r>
      <w:proofErr w:type="gramStart"/>
      <w:r w:rsidRPr="00C24766">
        <w:rPr>
          <w:caps/>
          <w:szCs w:val="20"/>
        </w:rPr>
        <w:t>Const.</w:t>
      </w:r>
      <w:r w:rsidRPr="00C24766">
        <w:rPr>
          <w:szCs w:val="20"/>
        </w:rPr>
        <w:t xml:space="preserve"> art.</w:t>
      </w:r>
      <w:proofErr w:type="gramEnd"/>
      <w:r w:rsidRPr="00C24766">
        <w:rPr>
          <w:szCs w:val="20"/>
        </w:rPr>
        <w:t xml:space="preserve"> </w:t>
      </w:r>
      <w:proofErr w:type="gramStart"/>
      <w:r w:rsidRPr="00C24766">
        <w:rPr>
          <w:szCs w:val="20"/>
        </w:rPr>
        <w:t>I, § 17.</w:t>
      </w:r>
      <w:proofErr w:type="gramEnd"/>
      <w:r w:rsidRPr="00C24766">
        <w:rPr>
          <w:szCs w:val="20"/>
        </w:rPr>
        <w:t xml:space="preserve">  </w:t>
      </w:r>
    </w:p>
  </w:endnote>
  <w:endnote w:id="4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[41]</w:t>
      </w:r>
      <w:r w:rsidRPr="00C24766">
        <w:rPr>
          <w:szCs w:val="20"/>
        </w:rPr>
        <w:t xml:space="preserve"> </w:t>
      </w:r>
      <w:proofErr w:type="spellStart"/>
      <w:r w:rsidRPr="00C24766">
        <w:rPr>
          <w:szCs w:val="20"/>
        </w:rPr>
        <w:t>Yassky</w:t>
      </w:r>
      <w:proofErr w:type="spellEnd"/>
      <w:r w:rsidRPr="00C24766">
        <w:rPr>
          <w:szCs w:val="20"/>
        </w:rPr>
        <w:t xml:space="preserve">, </w:t>
      </w:r>
      <w:r w:rsidRPr="00C24766">
        <w:rPr>
          <w:i/>
          <w:szCs w:val="20"/>
        </w:rPr>
        <w:t>supra</w:t>
      </w:r>
      <w:r w:rsidRPr="00C24766">
        <w:rPr>
          <w:szCs w:val="20"/>
        </w:rPr>
        <w:t xml:space="preserve"> </w:t>
      </w:r>
      <w:hyperlink r:id="rId28" w:anchor="_ednref10" w:history="1">
        <w:r w:rsidRPr="00C24766">
          <w:rPr>
            <w:rStyle w:val="Hyperlink"/>
            <w:szCs w:val="20"/>
          </w:rPr>
          <w:t>note 10</w:t>
        </w:r>
      </w:hyperlink>
      <w:r w:rsidRPr="00C24766">
        <w:rPr>
          <w:szCs w:val="20"/>
        </w:rPr>
        <w:t>, at 609-610.</w:t>
      </w:r>
    </w:p>
  </w:endnote>
  <w:endnote w:id="4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[42]</w:t>
      </w:r>
      <w:r w:rsidRPr="00C24766">
        <w:rPr>
          <w:szCs w:val="20"/>
        </w:rPr>
        <w:t xml:space="preserve"> </w:t>
      </w:r>
      <w:proofErr w:type="gramStart"/>
      <w:r w:rsidRPr="00C24766">
        <w:rPr>
          <w:caps/>
          <w:szCs w:val="20"/>
        </w:rPr>
        <w:t xml:space="preserve">U.S. Const. </w:t>
      </w:r>
      <w:r w:rsidRPr="00C24766">
        <w:rPr>
          <w:szCs w:val="20"/>
        </w:rPr>
        <w:t>art.</w:t>
      </w:r>
      <w:proofErr w:type="gramEnd"/>
      <w:r w:rsidRPr="00C24766">
        <w:rPr>
          <w:szCs w:val="20"/>
        </w:rPr>
        <w:t xml:space="preserve"> </w:t>
      </w:r>
      <w:proofErr w:type="gramStart"/>
      <w:r w:rsidRPr="00C24766">
        <w:rPr>
          <w:szCs w:val="20"/>
        </w:rPr>
        <w:t>VI, § 2.</w:t>
      </w:r>
      <w:proofErr w:type="gramEnd"/>
      <w:r w:rsidRPr="00C24766">
        <w:rPr>
          <w:szCs w:val="20"/>
        </w:rPr>
        <w:t xml:space="preserve">  This section provides: </w:t>
      </w:r>
    </w:p>
    <w:p w:rsidR="00C24766" w:rsidRPr="00C24766" w:rsidRDefault="00C24766" w:rsidP="00C24766">
      <w:pPr>
        <w:pStyle w:val="NormalWeb"/>
        <w:spacing w:before="0" w:beforeAutospacing="0" w:after="0" w:afterAutospacing="0"/>
        <w:jc w:val="both"/>
      </w:pPr>
    </w:p>
    <w:p w:rsidR="00C24766" w:rsidRPr="00C24766" w:rsidRDefault="00C24766" w:rsidP="00C24766">
      <w:pPr>
        <w:pStyle w:val="NormalWeb"/>
        <w:spacing w:before="0" w:beforeAutospacing="0" w:after="0" w:afterAutospacing="0"/>
        <w:ind w:left="720" w:right="720"/>
        <w:jc w:val="both"/>
      </w:pPr>
      <w:r w:rsidRPr="00C24766">
        <w:rPr>
          <w:szCs w:val="20"/>
        </w:rPr>
        <w:t>This Constitution, and the Laws of the United States which shall be made in Pursuance thereof; and all Treaties made, or which shall be mad, under the Authority of the United States, shall be the supreme Law of the Land; and the Judges in every State shall be bound thereby, any Thing in the Constitution or Laws of any State to the Contrary notwithstanding.</w:t>
      </w:r>
    </w:p>
    <w:p w:rsidR="00C24766" w:rsidRPr="00C24766" w:rsidRDefault="00C24766" w:rsidP="00C24766">
      <w:pPr>
        <w:pStyle w:val="NormalWeb"/>
        <w:spacing w:before="0" w:beforeAutospacing="0" w:after="0" w:afterAutospacing="0"/>
        <w:ind w:right="720"/>
        <w:jc w:val="both"/>
      </w:pPr>
      <w:r w:rsidRPr="00C24766">
        <w:rPr>
          <w:i/>
          <w:iCs/>
          <w:szCs w:val="20"/>
        </w:rPr>
        <w:t>Id.</w:t>
      </w:r>
    </w:p>
  </w:endnote>
  <w:endnote w:id="43">
    <w:p w:rsidR="00C24766" w:rsidRPr="00C24766" w:rsidRDefault="00C24766" w:rsidP="00C24766">
      <w:pPr>
        <w:pStyle w:val="NormalWeb"/>
        <w:spacing w:before="0" w:beforeAutospacing="0" w:after="0" w:afterAutospacing="0"/>
        <w:jc w:val="both"/>
        <w:rPr>
          <w:szCs w:val="20"/>
        </w:rPr>
      </w:pPr>
      <w:r w:rsidRPr="00C24766">
        <w:rPr>
          <w:rStyle w:val="EndnoteReference"/>
        </w:rPr>
        <w:endnoteRef/>
      </w:r>
      <w:r w:rsidRPr="00C24766">
        <w:rPr>
          <w:rStyle w:val="EndnoteReference"/>
          <w:szCs w:val="20"/>
        </w:rPr>
        <w:t>[43]</w:t>
      </w:r>
      <w:r w:rsidRPr="00C24766">
        <w:rPr>
          <w:szCs w:val="20"/>
        </w:rPr>
        <w:t xml:space="preserve"> </w:t>
      </w:r>
      <w:proofErr w:type="gramStart"/>
      <w:r w:rsidRPr="00C24766">
        <w:rPr>
          <w:caps/>
          <w:szCs w:val="20"/>
        </w:rPr>
        <w:t>Alaska Const.</w:t>
      </w:r>
      <w:r w:rsidRPr="00C24766">
        <w:rPr>
          <w:szCs w:val="20"/>
        </w:rPr>
        <w:t xml:space="preserve"> art.</w:t>
      </w:r>
      <w:proofErr w:type="gramEnd"/>
      <w:r w:rsidRPr="00C24766">
        <w:rPr>
          <w:szCs w:val="20"/>
        </w:rPr>
        <w:t xml:space="preserve"> </w:t>
      </w:r>
      <w:proofErr w:type="gramStart"/>
      <w:r w:rsidRPr="00C24766">
        <w:rPr>
          <w:szCs w:val="20"/>
        </w:rPr>
        <w:t>I, § 19.</w:t>
      </w:r>
      <w:proofErr w:type="gramEnd"/>
      <w:r w:rsidRPr="00C24766">
        <w:rPr>
          <w:szCs w:val="20"/>
        </w:rPr>
        <w:t xml:space="preserve"> “The individual right to keep and bear arms shall not be denied or infringed by the State or a political subdivision of the State.”  </w:t>
      </w:r>
      <w:r w:rsidRPr="00C24766">
        <w:rPr>
          <w:i/>
          <w:iCs/>
          <w:szCs w:val="20"/>
        </w:rPr>
        <w:t>Id.</w:t>
      </w:r>
    </w:p>
  </w:endnote>
  <w:endnote w:id="4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[44]</w:t>
      </w:r>
      <w:r w:rsidRPr="00C24766">
        <w:rPr>
          <w:szCs w:val="20"/>
        </w:rPr>
        <w:t xml:space="preserve"> A local government is the creature of a state </w:t>
      </w:r>
      <w:proofErr w:type="gramStart"/>
      <w:r w:rsidRPr="00C24766">
        <w:rPr>
          <w:szCs w:val="20"/>
        </w:rPr>
        <w:t>government,</w:t>
      </w:r>
      <w:proofErr w:type="gramEnd"/>
      <w:r w:rsidRPr="00C24766">
        <w:rPr>
          <w:szCs w:val="20"/>
        </w:rPr>
        <w:t xml:space="preserve"> therefore, it cannot perform an act which the state government cannot.</w:t>
      </w:r>
    </w:p>
  </w:endnote>
  <w:endnote w:id="4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[45]</w:t>
      </w:r>
      <w:r w:rsidRPr="00C24766">
        <w:rPr>
          <w:szCs w:val="20"/>
        </w:rPr>
        <w:t xml:space="preserve"> </w:t>
      </w:r>
      <w:r w:rsidRPr="00C24766">
        <w:rPr>
          <w:caps/>
          <w:szCs w:val="20"/>
        </w:rPr>
        <w:t xml:space="preserve">Alaska Const. </w:t>
      </w:r>
      <w:r w:rsidRPr="00C24766">
        <w:rPr>
          <w:szCs w:val="20"/>
        </w:rPr>
        <w:t>art I, § 19.</w:t>
      </w:r>
    </w:p>
  </w:endnote>
  <w:endnote w:id="4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[46]</w:t>
      </w:r>
      <w:r w:rsidRPr="00C24766">
        <w:rPr>
          <w:szCs w:val="20"/>
        </w:rPr>
        <w:t xml:space="preserve"> </w:t>
      </w:r>
      <w:proofErr w:type="gramStart"/>
      <w:r w:rsidRPr="00C24766">
        <w:rPr>
          <w:szCs w:val="20"/>
        </w:rPr>
        <w:t>The same as Alaska's 1959 language, without the 1994 Alaska addition.</w:t>
      </w:r>
      <w:proofErr w:type="gramEnd"/>
    </w:p>
  </w:endnote>
  <w:endnote w:id="4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[47]</w:t>
      </w:r>
      <w:r w:rsidRPr="00C24766">
        <w:rPr>
          <w:szCs w:val="20"/>
        </w:rPr>
        <w:t xml:space="preserve"> State v. Mendoza, 920 P.2d 357, 363 n. 9 (Haw. 1996) (The court did not decide the question of what type of right the arms guarantee was, but noted that interpreting the arms right as both collective and individual, subject to state police power, would be consistent with the majority of other state constitutions); </w:t>
      </w:r>
      <w:hyperlink r:id="rId29" w:history="1">
        <w:r w:rsidRPr="00C24766">
          <w:rPr>
            <w:rStyle w:val="Hyperlink"/>
            <w:szCs w:val="20"/>
          </w:rPr>
          <w:t>Morgan v. State</w:t>
        </w:r>
      </w:hyperlink>
      <w:r w:rsidRPr="00C24766">
        <w:rPr>
          <w:szCs w:val="20"/>
        </w:rPr>
        <w:t>, 943 P.2d 1208 (Alaska Ct. App. 1997) (holding right is not violated by prohibition on gun possession by citizens on probation).</w:t>
      </w:r>
    </w:p>
  </w:endnote>
  <w:endnote w:id="48">
    <w:p w:rsidR="00C24766" w:rsidRPr="00C24766" w:rsidRDefault="00C24766" w:rsidP="00C24766">
      <w:pPr>
        <w:pStyle w:val="NormalWeb"/>
        <w:spacing w:before="0" w:beforeAutospacing="0" w:after="0" w:afterAutospacing="0"/>
        <w:jc w:val="both"/>
        <w:rPr>
          <w:caps/>
        </w:rPr>
      </w:pPr>
      <w:r w:rsidRPr="00C24766">
        <w:rPr>
          <w:rStyle w:val="EndnoteReference"/>
        </w:rPr>
        <w:endnoteRef/>
      </w:r>
      <w:r w:rsidRPr="00C24766">
        <w:rPr>
          <w:rStyle w:val="EndnoteReference"/>
          <w:szCs w:val="20"/>
        </w:rPr>
        <w:t>[48]</w:t>
      </w:r>
      <w:r w:rsidRPr="00C24766">
        <w:rPr>
          <w:i/>
          <w:szCs w:val="20"/>
        </w:rPr>
        <w:t xml:space="preserve">See generally </w:t>
      </w:r>
      <w:r w:rsidRPr="00C24766">
        <w:rPr>
          <w:caps/>
          <w:szCs w:val="20"/>
        </w:rPr>
        <w:t>Alaska Stat. § 18.65.700-790 (</w:t>
      </w:r>
      <w:proofErr w:type="spellStart"/>
      <w:r w:rsidRPr="00C24766">
        <w:rPr>
          <w:caps/>
          <w:szCs w:val="20"/>
        </w:rPr>
        <w:t>M</w:t>
      </w:r>
      <w:r w:rsidRPr="00C24766">
        <w:rPr>
          <w:szCs w:val="20"/>
        </w:rPr>
        <w:t>ichie</w:t>
      </w:r>
      <w:proofErr w:type="spellEnd"/>
      <w:r w:rsidRPr="00C24766">
        <w:rPr>
          <w:szCs w:val="20"/>
        </w:rPr>
        <w:t xml:space="preserve"> 2000)</w:t>
      </w:r>
      <w:r w:rsidRPr="00C24766">
        <w:rPr>
          <w:caps/>
          <w:szCs w:val="20"/>
        </w:rPr>
        <w:t>, Haw. Rev. Stat. § 134-51 (1993)</w:t>
      </w:r>
    </w:p>
  </w:endnote>
  <w:endnote w:id="49">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[49]</w:t>
      </w:r>
      <w:r w:rsidRPr="00C24766">
        <w:rPr>
          <w:szCs w:val="20"/>
        </w:rPr>
        <w:t xml:space="preserve"> </w:t>
      </w:r>
      <w:proofErr w:type="gramStart"/>
      <w:r w:rsidRPr="00C24766">
        <w:rPr>
          <w:i/>
          <w:szCs w:val="20"/>
        </w:rPr>
        <w:t xml:space="preserve">See </w:t>
      </w:r>
      <w:r w:rsidRPr="00C24766">
        <w:rPr>
          <w:szCs w:val="20"/>
        </w:rPr>
        <w:t>State v. Mendoza, 920 P.2d 357, 360 (Haw. 1996).</w:t>
      </w:r>
      <w:proofErr w:type="gramEnd"/>
    </w:p>
  </w:endnote>
  <w:endnote w:id="5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[50]</w:t>
      </w:r>
      <w:r w:rsidRPr="00C24766">
        <w:rPr>
          <w:szCs w:val="20"/>
        </w:rPr>
        <w:t xml:space="preserve"> </w:t>
      </w:r>
      <w:proofErr w:type="gramStart"/>
      <w:r w:rsidRPr="00C24766">
        <w:rPr>
          <w:szCs w:val="20"/>
        </w:rPr>
        <w:t xml:space="preserve">S.C. </w:t>
      </w:r>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1, § 20.</w:t>
      </w:r>
      <w:proofErr w:type="gramEnd"/>
      <w:r w:rsidRPr="00C24766">
        <w:rPr>
          <w:szCs w:val="20"/>
        </w:rPr>
        <w:t xml:space="preserve"> (The South Carolina language makes some minor punctuation changes to the Second Amendment and to the North Carolina constitution). </w:t>
      </w:r>
    </w:p>
  </w:endnote>
  <w:endnote w:id="5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[51]</w:t>
      </w:r>
      <w:r w:rsidRPr="00C24766">
        <w:rPr>
          <w:szCs w:val="20"/>
        </w:rPr>
        <w:t xml:space="preserve"> </w:t>
      </w:r>
      <w:r w:rsidRPr="00C24766">
        <w:rPr>
          <w:caps/>
          <w:szCs w:val="20"/>
        </w:rPr>
        <w:t xml:space="preserve">Ala. </w:t>
      </w:r>
      <w:proofErr w:type="gramStart"/>
      <w:r w:rsidRPr="00C24766">
        <w:rPr>
          <w:caps/>
          <w:szCs w:val="20"/>
        </w:rPr>
        <w:t>Const.</w:t>
      </w:r>
      <w:r w:rsidRPr="00C24766">
        <w:rPr>
          <w:szCs w:val="20"/>
        </w:rPr>
        <w:t xml:space="preserve"> art.</w:t>
      </w:r>
      <w:proofErr w:type="gramEnd"/>
      <w:r w:rsidRPr="00C24766">
        <w:rPr>
          <w:szCs w:val="20"/>
        </w:rPr>
        <w:t xml:space="preserve"> I, § 26 (“</w:t>
      </w:r>
      <w:proofErr w:type="spellStart"/>
      <w:r w:rsidRPr="00C24766">
        <w:rPr>
          <w:szCs w:val="20"/>
        </w:rPr>
        <w:t>defence</w:t>
      </w:r>
      <w:proofErr w:type="spellEnd"/>
      <w:r w:rsidRPr="00C24766">
        <w:rPr>
          <w:szCs w:val="20"/>
        </w:rPr>
        <w:t xml:space="preserve">” changed to “defense” in 1901). </w:t>
      </w:r>
    </w:p>
  </w:endnote>
  <w:endnote w:id="52">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[52]</w:t>
      </w:r>
      <w:r w:rsidRPr="00C24766">
        <w:rPr>
          <w:szCs w:val="20"/>
        </w:rPr>
        <w:t xml:space="preserve"> </w:t>
      </w:r>
      <w:r w:rsidRPr="00C24766">
        <w:rPr>
          <w:i/>
          <w:szCs w:val="20"/>
        </w:rPr>
        <w:t>Id.</w:t>
      </w:r>
    </w:p>
  </w:endnote>
  <w:endnote w:id="53">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[53]</w:t>
      </w:r>
      <w:r w:rsidRPr="00C24766">
        <w:rPr>
          <w:szCs w:val="20"/>
        </w:rPr>
        <w:t xml:space="preserve"> </w:t>
      </w:r>
      <w:r w:rsidRPr="00C24766">
        <w:rPr>
          <w:i/>
          <w:szCs w:val="20"/>
        </w:rPr>
        <w:t>Id.</w:t>
      </w:r>
    </w:p>
  </w:endnote>
  <w:endnote w:id="5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[54]</w:t>
      </w:r>
      <w:r w:rsidRPr="00C24766">
        <w:rPr>
          <w:szCs w:val="20"/>
        </w:rPr>
        <w:t xml:space="preserve"> </w:t>
      </w:r>
      <w:r w:rsidRPr="00C24766">
        <w:rPr>
          <w:i/>
          <w:szCs w:val="20"/>
        </w:rPr>
        <w:t>See</w:t>
      </w:r>
      <w:r w:rsidRPr="00C24766">
        <w:rPr>
          <w:szCs w:val="20"/>
        </w:rPr>
        <w:t xml:space="preserve"> </w:t>
      </w:r>
      <w:hyperlink r:id="rId30" w:history="1">
        <w:r w:rsidRPr="00C24766">
          <w:rPr>
            <w:rStyle w:val="Hyperlink"/>
            <w:szCs w:val="20"/>
          </w:rPr>
          <w:t>Owen v. State</w:t>
        </w:r>
      </w:hyperlink>
      <w:r w:rsidRPr="00C24766">
        <w:rPr>
          <w:szCs w:val="20"/>
        </w:rPr>
        <w:t xml:space="preserve">, 31 Ala. 387 (1858) (recognizing that restriction on individual concealed carrying of weapons raises a constitutional issue, but finding restriction to be constitutional); </w:t>
      </w:r>
      <w:hyperlink r:id="rId31" w:history="1">
        <w:r w:rsidRPr="00C24766">
          <w:rPr>
            <w:rStyle w:val="Hyperlink"/>
            <w:szCs w:val="20"/>
          </w:rPr>
          <w:t>State v. Reid</w:t>
        </w:r>
      </w:hyperlink>
      <w:r w:rsidRPr="00C24766">
        <w:rPr>
          <w:szCs w:val="20"/>
        </w:rPr>
        <w:t xml:space="preserve">, 1 Ala. 12 (1840) (declaring legislature has broad discretion in determining how arms may be borne; yet “A statute which, under the pretense of regulating, amounts to a destruction of the right, or which requires arms to be so borne as to render them wholly useless for the purpose of </w:t>
      </w:r>
      <w:proofErr w:type="spellStart"/>
      <w:r w:rsidRPr="00C24766">
        <w:rPr>
          <w:szCs w:val="20"/>
        </w:rPr>
        <w:t>defence</w:t>
      </w:r>
      <w:proofErr w:type="spellEnd"/>
      <w:r w:rsidRPr="00C24766">
        <w:rPr>
          <w:szCs w:val="20"/>
        </w:rPr>
        <w:t>, would be clearly unconstitutional”).</w:t>
      </w:r>
    </w:p>
  </w:endnote>
  <w:endnote w:id="5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[55]</w:t>
      </w:r>
      <w:r w:rsidRPr="00C24766">
        <w:rPr>
          <w:szCs w:val="20"/>
        </w:rPr>
        <w:t xml:space="preserve"> </w:t>
      </w:r>
      <w:proofErr w:type="gramStart"/>
      <w:r w:rsidRPr="00C24766">
        <w:rPr>
          <w:i/>
          <w:szCs w:val="20"/>
        </w:rPr>
        <w:t>See</w:t>
      </w:r>
      <w:r w:rsidRPr="00C24766">
        <w:rPr>
          <w:szCs w:val="20"/>
        </w:rPr>
        <w:t xml:space="preserve"> </w:t>
      </w:r>
      <w:r w:rsidRPr="00C24766">
        <w:rPr>
          <w:i/>
          <w:szCs w:val="20"/>
        </w:rPr>
        <w:t>Order in Which States Joined the Union</w:t>
      </w:r>
      <w:r w:rsidRPr="00C24766">
        <w:rPr>
          <w:szCs w:val="20"/>
        </w:rPr>
        <w:t xml:space="preserve"> (visited Feb. 20, 2002) &lt;http://www.brittanica.com/eb/article?eu=121257&amp;tocid=214534&gt;.</w:t>
      </w:r>
      <w:proofErr w:type="gramEnd"/>
    </w:p>
  </w:endnote>
  <w:endnote w:id="5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[56]</w:t>
      </w:r>
      <w:r w:rsidRPr="00C24766">
        <w:rPr>
          <w:szCs w:val="20"/>
        </w:rPr>
        <w:t xml:space="preserve"> </w:t>
      </w:r>
      <w:r w:rsidRPr="00C24766">
        <w:rPr>
          <w:caps/>
          <w:szCs w:val="20"/>
        </w:rPr>
        <w:t xml:space="preserve">Wash. </w:t>
      </w:r>
      <w:proofErr w:type="gramStart"/>
      <w:r w:rsidRPr="00C24766">
        <w:rPr>
          <w:caps/>
          <w:szCs w:val="20"/>
        </w:rPr>
        <w:t>Const.</w:t>
      </w:r>
      <w:r w:rsidRPr="00C24766">
        <w:rPr>
          <w:szCs w:val="20"/>
        </w:rPr>
        <w:t xml:space="preserve"> art.</w:t>
      </w:r>
      <w:proofErr w:type="gramEnd"/>
      <w:r w:rsidRPr="00C24766">
        <w:rPr>
          <w:szCs w:val="20"/>
        </w:rPr>
        <w:t xml:space="preserve"> </w:t>
      </w:r>
      <w:proofErr w:type="gramStart"/>
      <w:r w:rsidRPr="00C24766">
        <w:rPr>
          <w:szCs w:val="20"/>
        </w:rPr>
        <w:t xml:space="preserve">I, § 24; </w:t>
      </w:r>
      <w:r w:rsidRPr="00C24766">
        <w:rPr>
          <w:caps/>
          <w:szCs w:val="20"/>
        </w:rPr>
        <w:t>Ariz.</w:t>
      </w:r>
      <w:proofErr w:type="gramEnd"/>
      <w:r w:rsidRPr="00C24766">
        <w:rPr>
          <w:caps/>
          <w:szCs w:val="20"/>
        </w:rPr>
        <w:t xml:space="preserve"> </w:t>
      </w:r>
      <w:proofErr w:type="gramStart"/>
      <w:r w:rsidRPr="00C24766">
        <w:rPr>
          <w:caps/>
          <w:szCs w:val="20"/>
        </w:rPr>
        <w:t>Const.</w:t>
      </w:r>
      <w:r w:rsidRPr="00C24766">
        <w:rPr>
          <w:szCs w:val="20"/>
        </w:rPr>
        <w:t xml:space="preserve"> art.</w:t>
      </w:r>
      <w:proofErr w:type="gramEnd"/>
      <w:r w:rsidRPr="00C24766">
        <w:rPr>
          <w:szCs w:val="20"/>
        </w:rPr>
        <w:t xml:space="preserve"> </w:t>
      </w:r>
      <w:proofErr w:type="gramStart"/>
      <w:r w:rsidRPr="00C24766">
        <w:rPr>
          <w:szCs w:val="20"/>
        </w:rPr>
        <w:t>II, § 26.</w:t>
      </w:r>
      <w:proofErr w:type="gramEnd"/>
      <w:r w:rsidRPr="00C24766">
        <w:rPr>
          <w:szCs w:val="20"/>
        </w:rPr>
        <w:t xml:space="preserve"> (The Arizona version does not have commas around “or the state” and capitalizes “State”). For application, </w:t>
      </w:r>
      <w:r w:rsidRPr="00C24766">
        <w:rPr>
          <w:iCs/>
          <w:szCs w:val="20"/>
        </w:rPr>
        <w:t xml:space="preserve">see </w:t>
      </w:r>
      <w:hyperlink r:id="rId32" w:history="1">
        <w:r w:rsidRPr="00C24766">
          <w:rPr>
            <w:rStyle w:val="Hyperlink"/>
            <w:szCs w:val="20"/>
          </w:rPr>
          <w:t xml:space="preserve">City of </w:t>
        </w:r>
      </w:hyperlink>
      <w:hyperlink r:id="rId33" w:history="1">
        <w:r w:rsidRPr="00C24766">
          <w:rPr>
            <w:rStyle w:val="Hyperlink"/>
            <w:szCs w:val="20"/>
          </w:rPr>
          <w:t xml:space="preserve">Tucson v. </w:t>
        </w:r>
        <w:proofErr w:type="spellStart"/>
        <w:r w:rsidRPr="00C24766">
          <w:rPr>
            <w:rStyle w:val="Hyperlink"/>
            <w:szCs w:val="20"/>
          </w:rPr>
          <w:t>Rineer</w:t>
        </w:r>
        <w:proofErr w:type="spellEnd"/>
      </w:hyperlink>
      <w:r w:rsidRPr="00C24766">
        <w:rPr>
          <w:szCs w:val="20"/>
        </w:rPr>
        <w:t>, 971 P.2d 207 (Ariz. Ct. App. 1998) (holding city’s restrictions on weapons in parks do not violate the right); City of Renton, 668 P.2d 596 (Wash. Ct. App. 1983) (upholding restriction on possession of arms in places where alcohol is served).</w:t>
      </w:r>
    </w:p>
  </w:endnote>
  <w:endnote w:id="5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[57]</w:t>
      </w:r>
      <w:r w:rsidRPr="00C24766">
        <w:rPr>
          <w:szCs w:val="20"/>
        </w:rPr>
        <w:t xml:space="preserve"> </w:t>
      </w:r>
      <w:r w:rsidRPr="00C24766">
        <w:rPr>
          <w:i/>
          <w:szCs w:val="20"/>
        </w:rPr>
        <w:t>See generally</w:t>
      </w:r>
      <w:r w:rsidRPr="00C24766">
        <w:rPr>
          <w:szCs w:val="20"/>
        </w:rPr>
        <w:t xml:space="preserve"> </w:t>
      </w:r>
      <w:hyperlink r:id="rId34" w:history="1">
        <w:r w:rsidRPr="00C24766">
          <w:rPr>
            <w:rStyle w:val="Hyperlink"/>
            <w:szCs w:val="20"/>
          </w:rPr>
          <w:t>Presser v. Illinois</w:t>
        </w:r>
      </w:hyperlink>
      <w:r w:rsidRPr="00C24766">
        <w:rPr>
          <w:szCs w:val="20"/>
        </w:rPr>
        <w:t>, 116 U.S. 252 (1886).</w:t>
      </w:r>
    </w:p>
  </w:endnote>
  <w:endnote w:id="5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[58]</w:t>
      </w:r>
      <w:r w:rsidRPr="00C24766">
        <w:rPr>
          <w:szCs w:val="20"/>
        </w:rPr>
        <w:t xml:space="preserve"> </w:t>
      </w:r>
      <w:hyperlink r:id="rId35" w:history="1">
        <w:proofErr w:type="gramStart"/>
        <w:r w:rsidRPr="00C24766">
          <w:rPr>
            <w:rStyle w:val="Hyperlink"/>
            <w:szCs w:val="20"/>
          </w:rPr>
          <w:t xml:space="preserve">Presser v. </w:t>
        </w:r>
      </w:hyperlink>
      <w:hyperlink r:id="rId36" w:history="1">
        <w:r w:rsidRPr="00C24766">
          <w:rPr>
            <w:rStyle w:val="Hyperlink"/>
            <w:szCs w:val="20"/>
          </w:rPr>
          <w:t>Illinois</w:t>
        </w:r>
      </w:hyperlink>
      <w:r w:rsidRPr="00C24766">
        <w:rPr>
          <w:szCs w:val="20"/>
        </w:rPr>
        <w:t>, 116 U.S. 252, 264-66 (1886).</w:t>
      </w:r>
      <w:proofErr w:type="gramEnd"/>
      <w:r w:rsidRPr="00C24766">
        <w:rPr>
          <w:szCs w:val="20"/>
        </w:rPr>
        <w:t xml:space="preserve"> For analysis of </w:t>
      </w:r>
      <w:r w:rsidRPr="00C24766">
        <w:rPr>
          <w:i/>
          <w:szCs w:val="20"/>
        </w:rPr>
        <w:t>Presser</w:t>
      </w:r>
      <w:r w:rsidRPr="00C24766">
        <w:rPr>
          <w:szCs w:val="20"/>
        </w:rPr>
        <w:t xml:space="preserve">, see David B. </w:t>
      </w:r>
      <w:proofErr w:type="spellStart"/>
      <w:r w:rsidRPr="00C24766">
        <w:rPr>
          <w:szCs w:val="20"/>
        </w:rPr>
        <w:t>Kopel</w:t>
      </w:r>
      <w:proofErr w:type="spellEnd"/>
      <w:r w:rsidRPr="00C24766">
        <w:rPr>
          <w:szCs w:val="20"/>
        </w:rPr>
        <w:t xml:space="preserve">, Cynthia </w:t>
      </w:r>
      <w:proofErr w:type="spellStart"/>
      <w:r w:rsidRPr="00C24766">
        <w:rPr>
          <w:szCs w:val="20"/>
        </w:rPr>
        <w:t>Leonardatos</w:t>
      </w:r>
      <w:proofErr w:type="spellEnd"/>
      <w:r w:rsidRPr="00C24766">
        <w:rPr>
          <w:szCs w:val="20"/>
        </w:rPr>
        <w:t xml:space="preserve"> and Stephen P. Halbrook, </w:t>
      </w:r>
      <w:hyperlink r:id="rId37" w:history="1">
        <w:r w:rsidRPr="00C24766">
          <w:rPr>
            <w:rStyle w:val="Hyperlink"/>
            <w:i/>
            <w:szCs w:val="20"/>
          </w:rPr>
          <w:t>Miller versus Texas: Police Violence, Race Relations, Capital Punishment, and Gun-toting in Texas in the Nineteenth Century—and Today</w:t>
        </w:r>
      </w:hyperlink>
      <w:r w:rsidRPr="00C24766">
        <w:rPr>
          <w:szCs w:val="20"/>
        </w:rPr>
        <w:t xml:space="preserve">, 9 </w:t>
      </w:r>
      <w:r w:rsidRPr="00C24766">
        <w:rPr>
          <w:caps/>
          <w:szCs w:val="20"/>
        </w:rPr>
        <w:t xml:space="preserve">J. L. &amp;  Pol. </w:t>
      </w:r>
      <w:r w:rsidRPr="00C24766">
        <w:rPr>
          <w:szCs w:val="20"/>
        </w:rPr>
        <w:t xml:space="preserve">737 (2001); Stephen. Halbrook, </w:t>
      </w:r>
      <w:r w:rsidRPr="00C24766">
        <w:rPr>
          <w:i/>
          <w:szCs w:val="20"/>
        </w:rPr>
        <w:t>The Right of Workers to Assemble and to Bear Arms: Presser v. Illinois, One of the Last Holdouts Against Application of the Bill of Rights to the States</w:t>
      </w:r>
      <w:r w:rsidRPr="00C24766">
        <w:rPr>
          <w:szCs w:val="20"/>
        </w:rPr>
        <w:t xml:space="preserve">, 76 </w:t>
      </w:r>
      <w:r w:rsidRPr="00C24766">
        <w:rPr>
          <w:caps/>
          <w:szCs w:val="20"/>
        </w:rPr>
        <w:t>U. Det. Mercy L. Rev</w:t>
      </w:r>
      <w:r w:rsidRPr="00C24766">
        <w:rPr>
          <w:szCs w:val="20"/>
        </w:rPr>
        <w:t xml:space="preserve">. 943 (1999). </w:t>
      </w:r>
    </w:p>
  </w:endnote>
  <w:endnote w:id="5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[59]</w:t>
      </w:r>
      <w:r w:rsidRPr="00C24766">
        <w:rPr>
          <w:szCs w:val="20"/>
        </w:rPr>
        <w:t xml:space="preserve"> </w:t>
      </w:r>
      <w:r w:rsidRPr="00C24766">
        <w:rPr>
          <w:caps/>
          <w:szCs w:val="20"/>
        </w:rPr>
        <w:t xml:space="preserve">Ark.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II, § 5 (modifying 1836 version by extending the right to citizens, rather than only whites).</w:t>
      </w:r>
      <w:proofErr w:type="gramEnd"/>
    </w:p>
  </w:endnote>
  <w:endnote w:id="6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[60]</w:t>
      </w:r>
      <w:r w:rsidRPr="00C24766">
        <w:rPr>
          <w:szCs w:val="20"/>
        </w:rPr>
        <w:t xml:space="preserve"> </w:t>
      </w:r>
      <w:hyperlink r:id="rId38" w:history="1">
        <w:proofErr w:type="gramStart"/>
        <w:r w:rsidRPr="00C24766">
          <w:rPr>
            <w:rStyle w:val="Hyperlink"/>
            <w:szCs w:val="20"/>
          </w:rPr>
          <w:t>State v. Buzzard</w:t>
        </w:r>
      </w:hyperlink>
      <w:r w:rsidRPr="00C24766">
        <w:rPr>
          <w:szCs w:val="20"/>
        </w:rPr>
        <w:t>, 4 Ark. 18, 27 (1842).</w:t>
      </w:r>
      <w:proofErr w:type="gramEnd"/>
    </w:p>
  </w:endnote>
  <w:endnote w:id="6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[61]</w:t>
      </w:r>
      <w:r w:rsidRPr="00C24766">
        <w:rPr>
          <w:szCs w:val="20"/>
        </w:rPr>
        <w:t xml:space="preserve"> </w:t>
      </w:r>
      <w:r w:rsidRPr="00C24766">
        <w:rPr>
          <w:i/>
          <w:szCs w:val="20"/>
        </w:rPr>
        <w:t xml:space="preserve">Id. </w:t>
      </w:r>
      <w:r w:rsidRPr="00C24766">
        <w:rPr>
          <w:szCs w:val="20"/>
        </w:rPr>
        <w:t>at 32 (Dickinson, J., concurring).</w:t>
      </w:r>
    </w:p>
  </w:endnote>
  <w:endnote w:id="6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[62]</w:t>
      </w:r>
      <w:r w:rsidRPr="00C24766">
        <w:rPr>
          <w:szCs w:val="20"/>
        </w:rPr>
        <w:t xml:space="preserve"> </w:t>
      </w:r>
      <w:hyperlink r:id="rId39" w:history="1">
        <w:r w:rsidRPr="00C24766">
          <w:rPr>
            <w:rStyle w:val="Hyperlink"/>
            <w:szCs w:val="20"/>
          </w:rPr>
          <w:t>Fife v. State</w:t>
        </w:r>
      </w:hyperlink>
      <w:r w:rsidRPr="00C24766">
        <w:rPr>
          <w:szCs w:val="20"/>
        </w:rPr>
        <w:t xml:space="preserve">, 31 Ark. 455, 460-461 (1876); </w:t>
      </w:r>
      <w:r w:rsidRPr="00C24766">
        <w:rPr>
          <w:i/>
          <w:szCs w:val="20"/>
        </w:rPr>
        <w:t xml:space="preserve">see also </w:t>
      </w:r>
      <w:hyperlink r:id="rId40" w:history="1">
        <w:r w:rsidRPr="00C24766">
          <w:rPr>
            <w:rStyle w:val="Hyperlink"/>
            <w:szCs w:val="20"/>
          </w:rPr>
          <w:t>Wilson v. State</w:t>
        </w:r>
      </w:hyperlink>
      <w:r w:rsidRPr="00C24766">
        <w:rPr>
          <w:szCs w:val="20"/>
        </w:rPr>
        <w:t>, 33 Ark. 557 (1878).</w:t>
      </w:r>
    </w:p>
  </w:endnote>
  <w:endnote w:id="6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[63]</w:t>
      </w:r>
      <w:r w:rsidRPr="00C24766">
        <w:rPr>
          <w:szCs w:val="20"/>
        </w:rPr>
        <w:t xml:space="preserve"> </w:t>
      </w:r>
      <w:r w:rsidRPr="00C24766">
        <w:rPr>
          <w:i/>
          <w:szCs w:val="20"/>
        </w:rPr>
        <w:t xml:space="preserve">See generally id. </w:t>
      </w:r>
    </w:p>
  </w:endnote>
  <w:endnote w:id="6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[64]</w:t>
      </w:r>
      <w:r w:rsidRPr="00C24766">
        <w:rPr>
          <w:szCs w:val="20"/>
        </w:rPr>
        <w:t xml:space="preserve"> </w:t>
      </w:r>
      <w:proofErr w:type="gramStart"/>
      <w:r w:rsidRPr="00C24766">
        <w:rPr>
          <w:szCs w:val="20"/>
        </w:rPr>
        <w:t>31 Ark. 455 (1876).</w:t>
      </w:r>
      <w:proofErr w:type="gramEnd"/>
    </w:p>
  </w:endnote>
  <w:endnote w:id="6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[65]</w:t>
      </w:r>
      <w:r w:rsidRPr="00C24766">
        <w:rPr>
          <w:szCs w:val="20"/>
        </w:rPr>
        <w:t xml:space="preserve"> </w:t>
      </w:r>
      <w:r w:rsidRPr="00C24766">
        <w:rPr>
          <w:i/>
          <w:szCs w:val="20"/>
        </w:rPr>
        <w:t xml:space="preserve">Id. </w:t>
      </w:r>
      <w:r w:rsidRPr="00C24766">
        <w:rPr>
          <w:szCs w:val="20"/>
        </w:rPr>
        <w:t xml:space="preserve">at 460-61; </w:t>
      </w:r>
      <w:r w:rsidRPr="00C24766">
        <w:rPr>
          <w:i/>
          <w:szCs w:val="20"/>
        </w:rPr>
        <w:t>see also</w:t>
      </w:r>
      <w:r w:rsidRPr="00C24766">
        <w:rPr>
          <w:szCs w:val="20"/>
        </w:rPr>
        <w:t xml:space="preserve"> (holding a statute making it a misdemeanor to carry a pistol except on a person’s own property or when traveling was an unwarranted restriction on right to bear arms). </w:t>
      </w:r>
    </w:p>
  </w:endnote>
  <w:endnote w:id="6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[66]</w:t>
      </w:r>
      <w:r w:rsidRPr="00C24766">
        <w:rPr>
          <w:szCs w:val="20"/>
        </w:rPr>
        <w:t xml:space="preserve"> </w:t>
      </w:r>
      <w:hyperlink r:id="rId41" w:history="1">
        <w:proofErr w:type="gramStart"/>
        <w:r w:rsidRPr="00C24766">
          <w:rPr>
            <w:rStyle w:val="Hyperlink"/>
            <w:szCs w:val="20"/>
          </w:rPr>
          <w:t>307 U.S. 174</w:t>
        </w:r>
      </w:hyperlink>
      <w:r w:rsidRPr="00C24766">
        <w:rPr>
          <w:szCs w:val="20"/>
        </w:rPr>
        <w:t xml:space="preserve"> (1939).</w:t>
      </w:r>
      <w:proofErr w:type="gramEnd"/>
      <w:r w:rsidRPr="00C24766">
        <w:rPr>
          <w:szCs w:val="20"/>
        </w:rPr>
        <w:t xml:space="preserve"> </w:t>
      </w:r>
    </w:p>
  </w:endnote>
  <w:endnote w:id="67">
    <w:p w:rsidR="00C24766" w:rsidRPr="00C24766" w:rsidRDefault="00C24766" w:rsidP="00C24766">
      <w:pPr>
        <w:pStyle w:val="NormalWeb"/>
        <w:spacing w:before="0" w:beforeAutospacing="0" w:after="0" w:afterAutospacing="0"/>
        <w:jc w:val="both"/>
        <w:rPr>
          <w:szCs w:val="20"/>
        </w:rPr>
      </w:pPr>
      <w:r w:rsidRPr="00C24766">
        <w:rPr>
          <w:rStyle w:val="EndnoteReference"/>
        </w:rPr>
        <w:endnoteRef/>
      </w:r>
      <w:r w:rsidRPr="00C24766">
        <w:rPr>
          <w:rStyle w:val="EndnoteReference"/>
          <w:szCs w:val="20"/>
        </w:rPr>
        <w:t>[67]</w:t>
      </w:r>
      <w:r w:rsidRPr="00C24766">
        <w:rPr>
          <w:szCs w:val="20"/>
        </w:rPr>
        <w:t xml:space="preserve"> </w:t>
      </w:r>
      <w:proofErr w:type="gramStart"/>
      <w:r w:rsidRPr="00C24766">
        <w:rPr>
          <w:i/>
          <w:szCs w:val="20"/>
        </w:rPr>
        <w:t xml:space="preserve">Id. </w:t>
      </w:r>
      <w:r w:rsidRPr="00C24766">
        <w:rPr>
          <w:szCs w:val="20"/>
        </w:rPr>
        <w:t>at 178.</w:t>
      </w:r>
      <w:proofErr w:type="gramEnd"/>
      <w:r w:rsidRPr="00C24766">
        <w:rPr>
          <w:szCs w:val="20"/>
        </w:rPr>
        <w:t xml:space="preserve">  For more on </w:t>
      </w:r>
      <w:r w:rsidRPr="00C24766">
        <w:rPr>
          <w:i/>
          <w:szCs w:val="20"/>
        </w:rPr>
        <w:t>Miller</w:t>
      </w:r>
      <w:r w:rsidRPr="00C24766">
        <w:rPr>
          <w:szCs w:val="20"/>
        </w:rPr>
        <w:t xml:space="preserve">, see David B. </w:t>
      </w:r>
      <w:proofErr w:type="spellStart"/>
      <w:r w:rsidRPr="00C24766">
        <w:rPr>
          <w:szCs w:val="20"/>
        </w:rPr>
        <w:t>Kopel</w:t>
      </w:r>
      <w:proofErr w:type="spellEnd"/>
      <w:r w:rsidRPr="00C24766">
        <w:rPr>
          <w:szCs w:val="20"/>
        </w:rPr>
        <w:t xml:space="preserve">, </w:t>
      </w:r>
      <w:hyperlink r:id="rId42" w:history="1">
        <w:r w:rsidRPr="00C24766">
          <w:rPr>
            <w:rStyle w:val="Hyperlink"/>
            <w:i/>
            <w:szCs w:val="20"/>
          </w:rPr>
          <w:t>The Supreme Court's Thirty-five</w:t>
        </w:r>
        <w:r w:rsidRPr="00C24766">
          <w:rPr>
            <w:rStyle w:val="Hyperlink"/>
            <w:szCs w:val="20"/>
          </w:rPr>
          <w:t xml:space="preserve"> Other </w:t>
        </w:r>
        <w:r w:rsidRPr="00C24766">
          <w:rPr>
            <w:rStyle w:val="Hyperlink"/>
            <w:i/>
            <w:szCs w:val="20"/>
          </w:rPr>
          <w:t>Second Amendment Cases</w:t>
        </w:r>
      </w:hyperlink>
      <w:r w:rsidRPr="00C24766">
        <w:rPr>
          <w:szCs w:val="20"/>
        </w:rPr>
        <w:t xml:space="preserve">, </w:t>
      </w:r>
      <w:proofErr w:type="gramStart"/>
      <w:r w:rsidRPr="00C24766">
        <w:rPr>
          <w:szCs w:val="20"/>
        </w:rPr>
        <w:t>18</w:t>
      </w:r>
      <w:proofErr w:type="gramEnd"/>
      <w:r w:rsidRPr="00C24766">
        <w:rPr>
          <w:szCs w:val="20"/>
        </w:rPr>
        <w:t xml:space="preserve"> </w:t>
      </w:r>
      <w:r w:rsidRPr="00C24766">
        <w:rPr>
          <w:rStyle w:val="Emphasis"/>
          <w:i w:val="0"/>
          <w:caps/>
          <w:szCs w:val="20"/>
        </w:rPr>
        <w:t xml:space="preserve">St. Louis U. Pub. </w:t>
      </w:r>
      <w:proofErr w:type="gramStart"/>
      <w:r w:rsidRPr="00C24766">
        <w:rPr>
          <w:rStyle w:val="Emphasis"/>
          <w:i w:val="0"/>
          <w:caps/>
          <w:szCs w:val="20"/>
        </w:rPr>
        <w:t>L. Rev.</w:t>
      </w:r>
      <w:r w:rsidRPr="00C24766">
        <w:rPr>
          <w:szCs w:val="20"/>
        </w:rPr>
        <w:t xml:space="preserve"> 99 (1999).</w:t>
      </w:r>
      <w:proofErr w:type="gramEnd"/>
      <w:r w:rsidRPr="00C24766">
        <w:rPr>
          <w:szCs w:val="20"/>
        </w:rPr>
        <w:t xml:space="preserve"> </w:t>
      </w:r>
    </w:p>
  </w:endnote>
  <w:endnote w:id="6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[68]</w:t>
      </w:r>
      <w:r w:rsidRPr="00C24766">
        <w:rPr>
          <w:szCs w:val="20"/>
        </w:rPr>
        <w:t xml:space="preserve"> </w:t>
      </w:r>
      <w:r w:rsidRPr="00C24766">
        <w:rPr>
          <w:caps/>
          <w:szCs w:val="20"/>
        </w:rPr>
        <w:t xml:space="preserve">Colo.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II, § 13.</w:t>
      </w:r>
      <w:proofErr w:type="gramEnd"/>
    </w:p>
  </w:endnote>
  <w:endnote w:id="69">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[69]</w:t>
      </w:r>
      <w:r w:rsidRPr="00C24766">
        <w:rPr>
          <w:szCs w:val="20"/>
        </w:rPr>
        <w:t xml:space="preserve"> </w:t>
      </w:r>
      <w:r w:rsidRPr="00C24766">
        <w:rPr>
          <w:i/>
          <w:szCs w:val="20"/>
        </w:rPr>
        <w:t>Id.</w:t>
      </w:r>
    </w:p>
  </w:endnote>
  <w:endnote w:id="70">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[70]</w:t>
      </w:r>
      <w:r w:rsidRPr="00C24766">
        <w:rPr>
          <w:szCs w:val="20"/>
        </w:rPr>
        <w:t xml:space="preserve"> </w:t>
      </w:r>
      <w:r w:rsidRPr="00C24766">
        <w:rPr>
          <w:i/>
          <w:szCs w:val="20"/>
        </w:rPr>
        <w:t>Id.</w:t>
      </w:r>
    </w:p>
  </w:endnote>
  <w:endnote w:id="7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[71]</w:t>
      </w:r>
      <w:r w:rsidRPr="00C24766">
        <w:rPr>
          <w:szCs w:val="20"/>
        </w:rPr>
        <w:t xml:space="preserve"> See, </w:t>
      </w:r>
      <w:proofErr w:type="spellStart"/>
      <w:r w:rsidRPr="00C24766">
        <w:rPr>
          <w:i/>
          <w:szCs w:val="20"/>
        </w:rPr>
        <w:t>e.g</w:t>
      </w:r>
      <w:proofErr w:type="spellEnd"/>
      <w:r w:rsidRPr="00C24766">
        <w:rPr>
          <w:i/>
          <w:szCs w:val="20"/>
        </w:rPr>
        <w:t xml:space="preserve">,, </w:t>
      </w:r>
      <w:hyperlink r:id="rId43" w:history="1">
        <w:r w:rsidRPr="00C24766">
          <w:rPr>
            <w:rStyle w:val="Hyperlink"/>
            <w:szCs w:val="20"/>
          </w:rPr>
          <w:t xml:space="preserve">Douglass v. </w:t>
        </w:r>
        <w:proofErr w:type="spellStart"/>
        <w:r w:rsidRPr="00C24766">
          <w:rPr>
            <w:rStyle w:val="Hyperlink"/>
            <w:szCs w:val="20"/>
          </w:rPr>
          <w:t>Kelton</w:t>
        </w:r>
        <w:proofErr w:type="spellEnd"/>
      </w:hyperlink>
      <w:r w:rsidRPr="00C24766">
        <w:rPr>
          <w:szCs w:val="20"/>
        </w:rPr>
        <w:t xml:space="preserve">, 610 P.2d 1067 (Colo. 1980) (noting that individual right does not include concealed carry); </w:t>
      </w:r>
      <w:hyperlink r:id="rId44" w:history="1">
        <w:proofErr w:type="spellStart"/>
        <w:r w:rsidRPr="00C24766">
          <w:rPr>
            <w:rStyle w:val="Hyperlink"/>
            <w:szCs w:val="20"/>
          </w:rPr>
          <w:t>Hilberg</w:t>
        </w:r>
        <w:proofErr w:type="spellEnd"/>
        <w:r w:rsidRPr="00C24766">
          <w:rPr>
            <w:rStyle w:val="Hyperlink"/>
            <w:szCs w:val="20"/>
          </w:rPr>
          <w:t xml:space="preserve"> v. F.W. Woolworth Co.</w:t>
        </w:r>
      </w:hyperlink>
      <w:r w:rsidRPr="00C24766">
        <w:rPr>
          <w:szCs w:val="20"/>
        </w:rPr>
        <w:t>, 761 P.2d 236 (Colo. Ct. App. 1988) (ruling against civil liability for firearms retailer, noting “The right to bear arms is guaranteed by the Constitution of the United States and the Colorado Constitution, subject to the valid exercise of police power”); (restrictions on firearms sale, possession, and carrying were too broad); (prohibition of firearm possession by lawful aliens is unconstitutional).</w:t>
      </w:r>
    </w:p>
  </w:endnote>
  <w:endnote w:id="7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[72]</w:t>
      </w:r>
      <w:r w:rsidRPr="00C24766">
        <w:rPr>
          <w:szCs w:val="20"/>
        </w:rPr>
        <w:t xml:space="preserve"> </w:t>
      </w:r>
      <w:r w:rsidRPr="00C24766">
        <w:rPr>
          <w:caps/>
          <w:szCs w:val="20"/>
        </w:rPr>
        <w:t xml:space="preserve">Conn.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15.</w:t>
      </w:r>
      <w:proofErr w:type="gramEnd"/>
    </w:p>
  </w:endnote>
  <w:endnote w:id="7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[73]</w:t>
      </w:r>
      <w:r w:rsidRPr="00C24766">
        <w:rPr>
          <w:szCs w:val="20"/>
        </w:rPr>
        <w:t xml:space="preserve"> </w:t>
      </w:r>
      <w:r w:rsidRPr="00C24766">
        <w:rPr>
          <w:i/>
          <w:szCs w:val="20"/>
        </w:rPr>
        <w:t xml:space="preserve">See, e.g., </w:t>
      </w:r>
      <w:hyperlink r:id="rId45" w:history="1">
        <w:r w:rsidRPr="00C24766">
          <w:rPr>
            <w:rStyle w:val="Hyperlink"/>
            <w:szCs w:val="20"/>
          </w:rPr>
          <w:t xml:space="preserve">State v. </w:t>
        </w:r>
        <w:proofErr w:type="spellStart"/>
        <w:r w:rsidRPr="00C24766">
          <w:rPr>
            <w:rStyle w:val="Hyperlink"/>
            <w:szCs w:val="20"/>
          </w:rPr>
          <w:t>Wilchinski</w:t>
        </w:r>
        <w:proofErr w:type="spellEnd"/>
      </w:hyperlink>
      <w:r w:rsidRPr="00C24766">
        <w:rPr>
          <w:szCs w:val="20"/>
        </w:rPr>
        <w:t xml:space="preserve">, 700 A.2d 1 (Conn. 1997) (adopting a narrow construction of home gun storage law, so as to avoid constitutional issue); </w:t>
      </w:r>
      <w:hyperlink r:id="rId46" w:history="1">
        <w:r w:rsidRPr="00C24766">
          <w:rPr>
            <w:rStyle w:val="Hyperlink"/>
            <w:szCs w:val="20"/>
          </w:rPr>
          <w:t>Benjamin v. Bailey</w:t>
        </w:r>
      </w:hyperlink>
      <w:r w:rsidRPr="00C24766">
        <w:rPr>
          <w:szCs w:val="20"/>
        </w:rPr>
        <w:t>, 662 A.2d 1226 (Conn. 1995) (declaring state constitution guarantees right to possess arms for personal defense, but right is not violated by ban on assault weapons).</w:t>
      </w:r>
    </w:p>
  </w:endnote>
  <w:endnote w:id="7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[74]</w:t>
      </w:r>
      <w:r w:rsidRPr="00C24766">
        <w:rPr>
          <w:szCs w:val="20"/>
        </w:rPr>
        <w:t xml:space="preserve"> </w:t>
      </w:r>
      <w:r w:rsidRPr="00C24766">
        <w:rPr>
          <w:caps/>
          <w:szCs w:val="20"/>
        </w:rPr>
        <w:t xml:space="preserve">Del. Const. </w:t>
      </w:r>
      <w:r w:rsidRPr="00C24766">
        <w:rPr>
          <w:szCs w:val="20"/>
        </w:rPr>
        <w:t xml:space="preserve">art. </w:t>
      </w:r>
      <w:proofErr w:type="gramStart"/>
      <w:r w:rsidRPr="00C24766">
        <w:rPr>
          <w:szCs w:val="20"/>
        </w:rPr>
        <w:t>I, § 20.</w:t>
      </w:r>
      <w:proofErr w:type="gramEnd"/>
    </w:p>
  </w:endnote>
  <w:endnote w:id="7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[75]</w:t>
      </w:r>
      <w:r w:rsidRPr="00C24766">
        <w:rPr>
          <w:szCs w:val="20"/>
        </w:rPr>
        <w:t xml:space="preserve"> </w:t>
      </w:r>
      <w:r w:rsidRPr="00C24766">
        <w:rPr>
          <w:i/>
          <w:szCs w:val="20"/>
        </w:rPr>
        <w:t xml:space="preserve">Id. </w:t>
      </w:r>
    </w:p>
  </w:endnote>
  <w:endnote w:id="76">
    <w:p w:rsidR="00C24766" w:rsidRPr="00C24766" w:rsidRDefault="00C24766" w:rsidP="00C24766">
      <w:pPr>
        <w:pStyle w:val="NormalWeb"/>
        <w:spacing w:before="0" w:beforeAutospacing="0" w:after="0" w:afterAutospacing="0"/>
        <w:jc w:val="both"/>
        <w:rPr>
          <w:b/>
        </w:rPr>
      </w:pPr>
      <w:r w:rsidRPr="00C24766">
        <w:rPr>
          <w:rStyle w:val="EndnoteReference"/>
        </w:rPr>
        <w:endnoteRef/>
      </w:r>
      <w:r w:rsidRPr="00C24766">
        <w:rPr>
          <w:rStyle w:val="EndnoteReference"/>
          <w:szCs w:val="20"/>
        </w:rPr>
        <w:t>[76]</w:t>
      </w:r>
      <w:r w:rsidRPr="00C24766">
        <w:rPr>
          <w:szCs w:val="20"/>
        </w:rPr>
        <w:t xml:space="preserve"> </w:t>
      </w:r>
      <w:r w:rsidRPr="00C24766">
        <w:rPr>
          <w:caps/>
          <w:szCs w:val="20"/>
        </w:rPr>
        <w:t xml:space="preserve">Fla.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8.</w:t>
      </w:r>
      <w:proofErr w:type="gramEnd"/>
      <w:r w:rsidRPr="00C24766">
        <w:rPr>
          <w:szCs w:val="20"/>
        </w:rPr>
        <w:t xml:space="preserve"> Sections (b</w:t>
      </w:r>
      <w:proofErr w:type="gramStart"/>
      <w:r w:rsidRPr="00C24766">
        <w:rPr>
          <w:szCs w:val="20"/>
        </w:rPr>
        <w:t>)</w:t>
      </w:r>
      <w:r w:rsidRPr="00C24766">
        <w:rPr>
          <w:szCs w:val="20"/>
        </w:rPr>
        <w:noBreakHyphen/>
      </w:r>
      <w:proofErr w:type="gramEnd"/>
      <w:r w:rsidRPr="00C24766">
        <w:rPr>
          <w:szCs w:val="20"/>
        </w:rPr>
        <w:t xml:space="preserve">(d) were adopted in 1990.  These sections provide: </w:t>
      </w:r>
      <w:r w:rsidRPr="00C24766">
        <w:rPr>
          <w:b/>
          <w:szCs w:val="20"/>
        </w:rPr>
        <w:br/>
        <w:t>      </w:t>
      </w:r>
    </w:p>
    <w:p w:rsidR="00C24766" w:rsidRPr="00C24766" w:rsidRDefault="00C24766" w:rsidP="00C24766">
      <w:pPr>
        <w:pStyle w:val="NormalWeb"/>
        <w:spacing w:before="0" w:beforeAutospacing="0" w:after="0" w:afterAutospacing="0"/>
        <w:ind w:left="720" w:right="720"/>
        <w:jc w:val="both"/>
      </w:pPr>
      <w:r w:rsidRPr="00C24766">
        <w:rPr>
          <w:szCs w:val="20"/>
        </w:rPr>
        <w:t>(b) There shall be a mandatory period of three days, excluding weekends and legal holidays, between the purchase and delivery at retail of any handgun.  For the purposes of this section, “purchase” means the transfer of money or other valuable consideration to the retailer, and “handgun” means a firearm capable of being carried and used by one hand, such as a pistol or revolver.  Holders of a concealed weapon permit as prescribed in Florida law shall not be subject to</w:t>
      </w:r>
    </w:p>
    <w:p w:rsidR="00C24766" w:rsidRPr="00C24766" w:rsidRDefault="00C24766" w:rsidP="00C24766">
      <w:pPr>
        <w:pStyle w:val="NormalWeb"/>
        <w:spacing w:before="0" w:beforeAutospacing="0" w:after="0" w:afterAutospacing="0"/>
        <w:ind w:left="720" w:right="720"/>
      </w:pPr>
      <w:r w:rsidRPr="00C24766">
        <w:rPr>
          <w:szCs w:val="20"/>
        </w:rPr>
        <w:t xml:space="preserve"> </w:t>
      </w:r>
      <w:proofErr w:type="gramStart"/>
      <w:r w:rsidRPr="00C24766">
        <w:rPr>
          <w:szCs w:val="20"/>
        </w:rPr>
        <w:t>the</w:t>
      </w:r>
      <w:proofErr w:type="gramEnd"/>
      <w:r w:rsidRPr="00C24766">
        <w:rPr>
          <w:szCs w:val="20"/>
        </w:rPr>
        <w:t xml:space="preserve"> provisions of this paragraph.</w:t>
      </w:r>
      <w:r w:rsidRPr="00C24766">
        <w:rPr>
          <w:szCs w:val="20"/>
        </w:rPr>
        <w:br/>
        <w:t>(c) The legislature shall enact legislation implementing subsection (b) of this section, effective no later than December 31, 1991, which shall provide that anyone violating the provisions of subsection (b) shall be guilty of a felony.</w:t>
      </w:r>
      <w:r w:rsidRPr="00C24766">
        <w:rPr>
          <w:szCs w:val="20"/>
        </w:rPr>
        <w:br/>
        <w:t>(d) This restriction shall not apply to a trade in of another handgun. .</w:t>
      </w:r>
    </w:p>
    <w:p w:rsidR="00C24766" w:rsidRPr="00C24766" w:rsidRDefault="00C24766" w:rsidP="00C24766">
      <w:pPr>
        <w:pStyle w:val="NormalWeb"/>
        <w:spacing w:before="0" w:beforeAutospacing="0" w:after="0" w:afterAutospacing="0"/>
        <w:ind w:right="720"/>
        <w:jc w:val="both"/>
        <w:rPr>
          <w:i/>
          <w:iCs/>
          <w:szCs w:val="20"/>
        </w:rPr>
      </w:pPr>
      <w:r w:rsidRPr="00C24766">
        <w:rPr>
          <w:i/>
          <w:iCs/>
          <w:szCs w:val="20"/>
        </w:rPr>
        <w:t>Id.</w:t>
      </w:r>
    </w:p>
  </w:endnote>
  <w:endnote w:id="7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[77]</w:t>
      </w:r>
      <w:r w:rsidRPr="00C24766">
        <w:rPr>
          <w:szCs w:val="20"/>
        </w:rPr>
        <w:t xml:space="preserve"> </w:t>
      </w:r>
      <w:r w:rsidRPr="00C24766">
        <w:rPr>
          <w:caps/>
          <w:szCs w:val="20"/>
        </w:rPr>
        <w:t xml:space="preserve">Fla. </w:t>
      </w:r>
      <w:proofErr w:type="gramStart"/>
      <w:r w:rsidRPr="00C24766">
        <w:rPr>
          <w:caps/>
          <w:szCs w:val="20"/>
        </w:rPr>
        <w:t xml:space="preserve">Const. </w:t>
      </w:r>
      <w:r w:rsidRPr="00C24766">
        <w:rPr>
          <w:szCs w:val="20"/>
        </w:rPr>
        <w:t>of 1838, art.</w:t>
      </w:r>
      <w:proofErr w:type="gramEnd"/>
      <w:r w:rsidRPr="00C24766">
        <w:rPr>
          <w:szCs w:val="20"/>
        </w:rPr>
        <w:t xml:space="preserve"> </w:t>
      </w:r>
      <w:proofErr w:type="gramStart"/>
      <w:r w:rsidRPr="00C24766">
        <w:rPr>
          <w:szCs w:val="20"/>
        </w:rPr>
        <w:t>I, § 21.</w:t>
      </w:r>
      <w:proofErr w:type="gramEnd"/>
    </w:p>
  </w:endnote>
  <w:endnote w:id="7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[78]</w:t>
      </w:r>
      <w:r w:rsidRPr="00C24766">
        <w:rPr>
          <w:szCs w:val="20"/>
        </w:rPr>
        <w:t xml:space="preserve"> </w:t>
      </w:r>
      <w:r w:rsidRPr="00C24766">
        <w:rPr>
          <w:caps/>
          <w:szCs w:val="20"/>
        </w:rPr>
        <w:t xml:space="preserve">Fla. </w:t>
      </w:r>
      <w:proofErr w:type="gramStart"/>
      <w:r w:rsidRPr="00C24766">
        <w:rPr>
          <w:caps/>
          <w:szCs w:val="20"/>
        </w:rPr>
        <w:t xml:space="preserve">Const. </w:t>
      </w:r>
      <w:r w:rsidRPr="00C24766">
        <w:rPr>
          <w:szCs w:val="20"/>
        </w:rPr>
        <w:t>of 1868, art.</w:t>
      </w:r>
      <w:proofErr w:type="gramEnd"/>
      <w:r w:rsidRPr="00C24766">
        <w:rPr>
          <w:szCs w:val="20"/>
        </w:rPr>
        <w:t xml:space="preserve"> </w:t>
      </w:r>
      <w:proofErr w:type="gramStart"/>
      <w:r w:rsidRPr="00C24766">
        <w:rPr>
          <w:szCs w:val="20"/>
        </w:rPr>
        <w:t>I, § 22.</w:t>
      </w:r>
      <w:proofErr w:type="gramEnd"/>
    </w:p>
  </w:endnote>
  <w:endnote w:id="7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[79]</w:t>
      </w:r>
      <w:r w:rsidRPr="00C24766">
        <w:rPr>
          <w:szCs w:val="20"/>
        </w:rPr>
        <w:t xml:space="preserve"> </w:t>
      </w:r>
      <w:r w:rsidRPr="00C24766">
        <w:rPr>
          <w:caps/>
          <w:szCs w:val="20"/>
        </w:rPr>
        <w:t xml:space="preserve">Fla. </w:t>
      </w:r>
      <w:proofErr w:type="gramStart"/>
      <w:r w:rsidRPr="00C24766">
        <w:rPr>
          <w:caps/>
          <w:szCs w:val="20"/>
        </w:rPr>
        <w:t xml:space="preserve">Const. </w:t>
      </w:r>
      <w:r w:rsidRPr="00C24766">
        <w:rPr>
          <w:szCs w:val="20"/>
        </w:rPr>
        <w:t>of 1885, art.</w:t>
      </w:r>
      <w:proofErr w:type="gramEnd"/>
      <w:r w:rsidRPr="00C24766">
        <w:rPr>
          <w:szCs w:val="20"/>
        </w:rPr>
        <w:t xml:space="preserve"> </w:t>
      </w:r>
      <w:proofErr w:type="gramStart"/>
      <w:r w:rsidRPr="00C24766">
        <w:rPr>
          <w:szCs w:val="20"/>
        </w:rPr>
        <w:t>I, § 20.</w:t>
      </w:r>
      <w:proofErr w:type="gramEnd"/>
    </w:p>
  </w:endnote>
  <w:endnote w:id="8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[80]</w:t>
      </w:r>
      <w:r w:rsidRPr="00C24766">
        <w:rPr>
          <w:szCs w:val="20"/>
        </w:rPr>
        <w:t xml:space="preserve"> Decisions affirming the individual right, while upholding particular controls, include: </w:t>
      </w:r>
      <w:hyperlink r:id="rId47" w:history="1">
        <w:proofErr w:type="spellStart"/>
        <w:r w:rsidRPr="00C24766">
          <w:rPr>
            <w:rStyle w:val="Hyperlink"/>
            <w:szCs w:val="20"/>
          </w:rPr>
          <w:t>Rinzler</w:t>
        </w:r>
        <w:proofErr w:type="spellEnd"/>
        <w:r w:rsidRPr="00C24766">
          <w:rPr>
            <w:rStyle w:val="Hyperlink"/>
            <w:szCs w:val="20"/>
          </w:rPr>
          <w:t xml:space="preserve"> v. </w:t>
        </w:r>
      </w:hyperlink>
      <w:hyperlink r:id="rId48" w:history="1">
        <w:r w:rsidRPr="00C24766">
          <w:rPr>
            <w:rStyle w:val="Hyperlink"/>
            <w:szCs w:val="20"/>
          </w:rPr>
          <w:t>Carson</w:t>
        </w:r>
      </w:hyperlink>
      <w:r w:rsidRPr="00C24766">
        <w:rPr>
          <w:szCs w:val="20"/>
        </w:rPr>
        <w:t xml:space="preserve">, 262 So.2d 661 (Fla. 1972) (prohibiting machine guns); Nelson v. State, 195 So.2d 853 (Fla. 1967) (Banning possession of certain weapons by convicted felons); Davis v. State, 146 So.2d 892 (Fla. 1962) (requiring a license to carry certain weapons); </w:t>
      </w:r>
      <w:hyperlink r:id="rId49" w:history="1">
        <w:r w:rsidRPr="00C24766">
          <w:rPr>
            <w:rStyle w:val="Hyperlink"/>
            <w:szCs w:val="20"/>
          </w:rPr>
          <w:t>Carlton v. State</w:t>
        </w:r>
      </w:hyperlink>
      <w:r w:rsidRPr="00C24766">
        <w:rPr>
          <w:szCs w:val="20"/>
        </w:rPr>
        <w:t>, 58 So. 480 (1912) (restricting concealed carry).</w:t>
      </w:r>
    </w:p>
  </w:endnote>
  <w:endnote w:id="8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[81]</w:t>
      </w:r>
      <w:r w:rsidRPr="00C24766">
        <w:rPr>
          <w:szCs w:val="20"/>
        </w:rPr>
        <w:t xml:space="preserve"> </w:t>
      </w:r>
      <w:proofErr w:type="gramStart"/>
      <w:r w:rsidRPr="00C24766">
        <w:rPr>
          <w:caps/>
          <w:szCs w:val="20"/>
        </w:rPr>
        <w:t xml:space="preserve">Ga. Const. </w:t>
      </w:r>
      <w:r w:rsidRPr="00C24766">
        <w:rPr>
          <w:szCs w:val="20"/>
        </w:rPr>
        <w:t>art.</w:t>
      </w:r>
      <w:proofErr w:type="gramEnd"/>
      <w:r w:rsidRPr="00C24766">
        <w:rPr>
          <w:szCs w:val="20"/>
        </w:rPr>
        <w:t xml:space="preserve"> </w:t>
      </w:r>
      <w:proofErr w:type="gramStart"/>
      <w:r w:rsidRPr="00C24766">
        <w:rPr>
          <w:szCs w:val="20"/>
        </w:rPr>
        <w:t>I, § 1, cl. VIII.</w:t>
      </w:r>
      <w:proofErr w:type="gramEnd"/>
      <w:r w:rsidRPr="00C24766">
        <w:rPr>
          <w:szCs w:val="20"/>
        </w:rPr>
        <w:t xml:space="preserve">  </w:t>
      </w:r>
      <w:r w:rsidRPr="00C24766">
        <w:rPr>
          <w:i/>
          <w:szCs w:val="20"/>
        </w:rPr>
        <w:t>Cf.</w:t>
      </w:r>
      <w:r w:rsidRPr="00C24766">
        <w:rPr>
          <w:szCs w:val="20"/>
        </w:rPr>
        <w:t xml:space="preserve"> </w:t>
      </w:r>
      <w:hyperlink r:id="rId50" w:history="1">
        <w:r w:rsidRPr="00C24766">
          <w:rPr>
            <w:rStyle w:val="Hyperlink"/>
            <w:szCs w:val="20"/>
          </w:rPr>
          <w:t>Hill v. State</w:t>
        </w:r>
      </w:hyperlink>
      <w:r w:rsidRPr="00C24766">
        <w:rPr>
          <w:szCs w:val="20"/>
        </w:rPr>
        <w:t>, 53 Ga. 472 (1874) (interpreting 1868 state constitutional language as an individual right, but the legislature may ban the bearing of arms in courthouses).</w:t>
      </w:r>
    </w:p>
  </w:endnote>
  <w:endnote w:id="8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[82]</w:t>
      </w:r>
      <w:r w:rsidRPr="00C24766">
        <w:rPr>
          <w:szCs w:val="20"/>
        </w:rPr>
        <w:t xml:space="preserve"> </w:t>
      </w:r>
      <w:r w:rsidRPr="00C24766">
        <w:rPr>
          <w:i/>
          <w:szCs w:val="20"/>
        </w:rPr>
        <w:t xml:space="preserve">See </w:t>
      </w:r>
      <w:hyperlink r:id="rId51" w:history="1">
        <w:r w:rsidRPr="00C24766">
          <w:rPr>
            <w:rStyle w:val="Hyperlink"/>
            <w:szCs w:val="20"/>
          </w:rPr>
          <w:t>Rhodes v. R.G. Industries</w:t>
        </w:r>
      </w:hyperlink>
      <w:r w:rsidRPr="00C24766">
        <w:rPr>
          <w:szCs w:val="20"/>
        </w:rPr>
        <w:t>, Inc. 325 S.E.2d 465 (Ga. Ct. App. 1984) (dismissing strict liability action against handgun manufacturers because the Second Amendment guarantees the right of people to keep and bear arms, as does the Georgia Constitution).</w:t>
      </w:r>
    </w:p>
  </w:endnote>
  <w:endnote w:id="8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[83]</w:t>
      </w:r>
      <w:r w:rsidRPr="00C24766">
        <w:rPr>
          <w:szCs w:val="20"/>
        </w:rPr>
        <w:t xml:space="preserve"> </w:t>
      </w:r>
      <w:hyperlink r:id="rId52" w:history="1">
        <w:r w:rsidRPr="00C24766">
          <w:rPr>
            <w:rStyle w:val="Hyperlink"/>
            <w:szCs w:val="20"/>
          </w:rPr>
          <w:t>Nunn v. State</w:t>
        </w:r>
      </w:hyperlink>
      <w:r w:rsidRPr="00C24766">
        <w:rPr>
          <w:szCs w:val="20"/>
        </w:rPr>
        <w:t>, 1 Ga. 243, 251 (1846)</w:t>
      </w:r>
    </w:p>
  </w:endnote>
  <w:endnote w:id="8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[84]</w:t>
      </w:r>
      <w:r w:rsidRPr="00C24766">
        <w:rPr>
          <w:szCs w:val="20"/>
        </w:rPr>
        <w:t xml:space="preserve"> </w:t>
      </w:r>
      <w:r w:rsidRPr="00C24766">
        <w:rPr>
          <w:i/>
          <w:szCs w:val="20"/>
        </w:rPr>
        <w:t>Id.</w:t>
      </w:r>
      <w:r w:rsidRPr="00C24766">
        <w:rPr>
          <w:szCs w:val="20"/>
        </w:rPr>
        <w:t xml:space="preserve">; </w:t>
      </w:r>
      <w:r w:rsidRPr="00C24766">
        <w:rPr>
          <w:i/>
          <w:szCs w:val="20"/>
        </w:rPr>
        <w:t>see generally also</w:t>
      </w:r>
      <w:r w:rsidRPr="00C24766">
        <w:rPr>
          <w:szCs w:val="20"/>
        </w:rPr>
        <w:t xml:space="preserve"> </w:t>
      </w:r>
      <w:r w:rsidRPr="00C24766">
        <w:rPr>
          <w:caps/>
          <w:szCs w:val="20"/>
        </w:rPr>
        <w:t>Akhil Amar, The Bill of Rights: Creation and Reconstruction</w:t>
      </w:r>
      <w:r w:rsidRPr="00C24766">
        <w:rPr>
          <w:szCs w:val="20"/>
        </w:rPr>
        <w:t xml:space="preserve"> (1998</w:t>
      </w:r>
      <w:proofErr w:type="gramStart"/>
      <w:r w:rsidRPr="00C24766">
        <w:rPr>
          <w:szCs w:val="20"/>
        </w:rPr>
        <w:t>)(</w:t>
      </w:r>
      <w:proofErr w:type="gramEnd"/>
      <w:r w:rsidRPr="00C24766">
        <w:rPr>
          <w:szCs w:val="20"/>
        </w:rPr>
        <w:t xml:space="preserve">explaining </w:t>
      </w:r>
      <w:r w:rsidRPr="00C24766">
        <w:rPr>
          <w:i/>
          <w:szCs w:val="20"/>
        </w:rPr>
        <w:t>Nunn</w:t>
      </w:r>
      <w:r w:rsidRPr="00C24766">
        <w:rPr>
          <w:szCs w:val="20"/>
        </w:rPr>
        <w:t xml:space="preserve"> as part of a group of antebellum decisions applying the Bill of Rights to the states).  Chief Justice Joseph Henry Lumpkin, author </w:t>
      </w:r>
      <w:proofErr w:type="gramStart"/>
      <w:r w:rsidRPr="00C24766">
        <w:rPr>
          <w:szCs w:val="20"/>
        </w:rPr>
        <w:t>of  the</w:t>
      </w:r>
      <w:proofErr w:type="gramEnd"/>
      <w:r w:rsidRPr="00C24766">
        <w:rPr>
          <w:szCs w:val="20"/>
        </w:rPr>
        <w:t xml:space="preserve"> </w:t>
      </w:r>
      <w:r w:rsidRPr="00C24766">
        <w:rPr>
          <w:i/>
          <w:szCs w:val="20"/>
        </w:rPr>
        <w:t>Nunn</w:t>
      </w:r>
      <w:r w:rsidRPr="00C24766">
        <w:rPr>
          <w:szCs w:val="20"/>
        </w:rPr>
        <w:t xml:space="preserve"> opinion, is recognized as one of the leading State Supreme Court judges of the nineteenth century.  For more information on his career </w:t>
      </w:r>
      <w:proofErr w:type="gramStart"/>
      <w:r w:rsidRPr="00C24766">
        <w:rPr>
          <w:szCs w:val="20"/>
        </w:rPr>
        <w:t>see ;</w:t>
      </w:r>
      <w:proofErr w:type="gramEnd"/>
      <w:r w:rsidRPr="00C24766">
        <w:rPr>
          <w:szCs w:val="20"/>
        </w:rPr>
        <w:t xml:space="preserve"> ; </w:t>
      </w:r>
      <w:r w:rsidRPr="00C24766">
        <w:rPr>
          <w:caps/>
          <w:szCs w:val="20"/>
        </w:rPr>
        <w:t xml:space="preserve">The Story of Georgia </w:t>
      </w:r>
      <w:r w:rsidRPr="00C24766">
        <w:rPr>
          <w:szCs w:val="20"/>
        </w:rPr>
        <w:t xml:space="preserve">243 (Am. Historical </w:t>
      </w:r>
      <w:proofErr w:type="spellStart"/>
      <w:r w:rsidRPr="00C24766">
        <w:rPr>
          <w:szCs w:val="20"/>
        </w:rPr>
        <w:t>Soc’y</w:t>
      </w:r>
      <w:proofErr w:type="spellEnd"/>
      <w:r w:rsidRPr="00C24766">
        <w:rPr>
          <w:szCs w:val="20"/>
        </w:rPr>
        <w:t xml:space="preserve"> 1938).</w:t>
      </w:r>
    </w:p>
  </w:endnote>
  <w:endnote w:id="8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[85]</w:t>
      </w:r>
      <w:r w:rsidRPr="00C24766">
        <w:rPr>
          <w:szCs w:val="20"/>
        </w:rPr>
        <w:t xml:space="preserve"> </w:t>
      </w:r>
      <w:proofErr w:type="gramStart"/>
      <w:r w:rsidRPr="00C24766">
        <w:rPr>
          <w:szCs w:val="20"/>
        </w:rPr>
        <w:t xml:space="preserve">Except for the lone concurring opinion from </w:t>
      </w:r>
      <w:hyperlink r:id="rId53" w:history="1">
        <w:r w:rsidRPr="00C24766">
          <w:rPr>
            <w:rStyle w:val="Hyperlink"/>
            <w:szCs w:val="20"/>
          </w:rPr>
          <w:t>State v. Buzzard</w:t>
        </w:r>
      </w:hyperlink>
      <w:r w:rsidRPr="00C24766">
        <w:rPr>
          <w:szCs w:val="20"/>
        </w:rPr>
        <w:t>, 4 Ark. 18 (1842).</w:t>
      </w:r>
      <w:proofErr w:type="gramEnd"/>
    </w:p>
  </w:endnote>
  <w:endnote w:id="8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[86]</w:t>
      </w:r>
      <w:r w:rsidRPr="00C24766">
        <w:rPr>
          <w:szCs w:val="20"/>
        </w:rPr>
        <w:t xml:space="preserve"> </w:t>
      </w:r>
      <w:r w:rsidRPr="00C24766">
        <w:rPr>
          <w:i/>
          <w:szCs w:val="20"/>
        </w:rPr>
        <w:t xml:space="preserve">See generally </w:t>
      </w:r>
      <w:r w:rsidRPr="00C24766">
        <w:rPr>
          <w:szCs w:val="20"/>
        </w:rPr>
        <w:t xml:space="preserve">David B. </w:t>
      </w:r>
      <w:proofErr w:type="spellStart"/>
      <w:r w:rsidRPr="00C24766">
        <w:rPr>
          <w:szCs w:val="20"/>
        </w:rPr>
        <w:t>Kopel</w:t>
      </w:r>
      <w:proofErr w:type="spellEnd"/>
      <w:r w:rsidRPr="00C24766">
        <w:rPr>
          <w:szCs w:val="20"/>
        </w:rPr>
        <w:t xml:space="preserve">, </w:t>
      </w:r>
      <w:hyperlink r:id="rId54" w:history="1">
        <w:r w:rsidRPr="00C24766">
          <w:rPr>
            <w:rStyle w:val="Hyperlink"/>
            <w:i/>
            <w:szCs w:val="20"/>
          </w:rPr>
          <w:t>The Second Amendment in the Nineteenth Century</w:t>
        </w:r>
      </w:hyperlink>
      <w:r w:rsidRPr="00C24766">
        <w:rPr>
          <w:szCs w:val="20"/>
        </w:rPr>
        <w:t xml:space="preserve">, </w:t>
      </w:r>
      <w:proofErr w:type="gramStart"/>
      <w:r w:rsidRPr="00C24766">
        <w:rPr>
          <w:szCs w:val="20"/>
        </w:rPr>
        <w:t>1998</w:t>
      </w:r>
      <w:proofErr w:type="gramEnd"/>
      <w:r w:rsidRPr="00C24766">
        <w:rPr>
          <w:szCs w:val="20"/>
        </w:rPr>
        <w:t xml:space="preserve"> </w:t>
      </w:r>
      <w:r w:rsidRPr="00C24766">
        <w:rPr>
          <w:caps/>
          <w:szCs w:val="20"/>
        </w:rPr>
        <w:t>B.Y.U. L. Rev.</w:t>
      </w:r>
      <w:r w:rsidRPr="00C24766">
        <w:rPr>
          <w:szCs w:val="20"/>
        </w:rPr>
        <w:t xml:space="preserve"> 1359 (1998).</w:t>
      </w:r>
    </w:p>
  </w:endnote>
  <w:endnote w:id="8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[87]</w:t>
      </w:r>
      <w:r w:rsidRPr="00C24766">
        <w:rPr>
          <w:rStyle w:val="EndnoteReference"/>
        </w:rPr>
        <w:endnoteRef/>
      </w:r>
      <w:r w:rsidRPr="00C24766">
        <w:rPr>
          <w:rStyle w:val="EndnoteReference"/>
          <w:szCs w:val="20"/>
        </w:rPr>
        <w:t xml:space="preserve"> </w:t>
      </w:r>
      <w:proofErr w:type="gramStart"/>
      <w:r w:rsidRPr="00C24766">
        <w:rPr>
          <w:caps/>
          <w:szCs w:val="20"/>
        </w:rPr>
        <w:t xml:space="preserve">Idaho Const. </w:t>
      </w:r>
      <w:r w:rsidRPr="00C24766">
        <w:rPr>
          <w:szCs w:val="20"/>
        </w:rPr>
        <w:t>art.</w:t>
      </w:r>
      <w:proofErr w:type="gramEnd"/>
      <w:r w:rsidRPr="00C24766">
        <w:rPr>
          <w:szCs w:val="20"/>
        </w:rPr>
        <w:t xml:space="preserve"> </w:t>
      </w:r>
      <w:proofErr w:type="gramStart"/>
      <w:r w:rsidRPr="00C24766">
        <w:rPr>
          <w:szCs w:val="20"/>
        </w:rPr>
        <w:t>I, § 11.</w:t>
      </w:r>
      <w:proofErr w:type="gramEnd"/>
    </w:p>
  </w:endnote>
  <w:endnote w:id="8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[88]</w:t>
      </w:r>
      <w:r w:rsidRPr="00C24766">
        <w:rPr>
          <w:szCs w:val="20"/>
        </w:rPr>
        <w:t xml:space="preserve"> </w:t>
      </w:r>
      <w:hyperlink r:id="rId55" w:history="1">
        <w:r w:rsidRPr="00C24766">
          <w:rPr>
            <w:rStyle w:val="Hyperlink"/>
            <w:i/>
            <w:iCs/>
            <w:szCs w:val="20"/>
          </w:rPr>
          <w:t>In re</w:t>
        </w:r>
        <w:r w:rsidRPr="00C24766">
          <w:rPr>
            <w:rStyle w:val="Hyperlink"/>
            <w:szCs w:val="20"/>
          </w:rPr>
          <w:t xml:space="preserve"> </w:t>
        </w:r>
        <w:proofErr w:type="spellStart"/>
        <w:r w:rsidRPr="00C24766">
          <w:rPr>
            <w:rStyle w:val="Hyperlink"/>
            <w:szCs w:val="20"/>
          </w:rPr>
          <w:t>Brickey</w:t>
        </w:r>
        <w:proofErr w:type="spellEnd"/>
      </w:hyperlink>
      <w:r w:rsidRPr="00C24766">
        <w:rPr>
          <w:szCs w:val="20"/>
        </w:rPr>
        <w:t xml:space="preserve">, 70 P. 609 (Idaho 1902); </w:t>
      </w:r>
      <w:r w:rsidRPr="00C24766">
        <w:rPr>
          <w:i/>
          <w:szCs w:val="20"/>
        </w:rPr>
        <w:t xml:space="preserve">see also </w:t>
      </w:r>
      <w:hyperlink r:id="rId56" w:history="1">
        <w:r w:rsidRPr="00C24766">
          <w:rPr>
            <w:rStyle w:val="Hyperlink"/>
            <w:szCs w:val="20"/>
          </w:rPr>
          <w:t>State v. Hart</w:t>
        </w:r>
      </w:hyperlink>
      <w:r w:rsidRPr="00C24766">
        <w:rPr>
          <w:szCs w:val="20"/>
        </w:rPr>
        <w:t xml:space="preserve">, 157 P.2d 72 (Idaho 1945); </w:t>
      </w:r>
      <w:hyperlink r:id="rId57" w:history="1">
        <w:r w:rsidRPr="00C24766">
          <w:rPr>
            <w:rStyle w:val="Hyperlink"/>
            <w:szCs w:val="20"/>
          </w:rPr>
          <w:t>State v. Woodward</w:t>
        </w:r>
      </w:hyperlink>
      <w:r w:rsidRPr="00C24766">
        <w:rPr>
          <w:szCs w:val="20"/>
        </w:rPr>
        <w:t>, 74 P.2d 92 (Idaho 1937)</w:t>
      </w:r>
      <w:proofErr w:type="gramStart"/>
      <w:r w:rsidRPr="00C24766">
        <w:rPr>
          <w:szCs w:val="20"/>
        </w:rPr>
        <w:t xml:space="preserve">; </w:t>
      </w:r>
      <w:proofErr w:type="gramEnd"/>
      <w:r w:rsidRPr="00C24766">
        <w:rPr>
          <w:rStyle w:val="EndnoteReference"/>
          <w:szCs w:val="20"/>
        </w:rPr>
        <w:t xml:space="preserve">Jennings v. State, 5 </w:t>
      </w:r>
      <w:r w:rsidRPr="00C24766">
        <w:rPr>
          <w:szCs w:val="20"/>
        </w:rPr>
        <w:t>.</w:t>
      </w:r>
    </w:p>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[89]</w:t>
      </w:r>
      <w:r w:rsidRPr="00C24766">
        <w:rPr>
          <w:szCs w:val="20"/>
        </w:rPr>
        <w:t xml:space="preserve"> </w:t>
      </w:r>
      <w:proofErr w:type="gramStart"/>
      <w:r w:rsidRPr="00C24766">
        <w:rPr>
          <w:caps/>
          <w:szCs w:val="20"/>
        </w:rPr>
        <w:t xml:space="preserve">Ill. Const. </w:t>
      </w:r>
      <w:r w:rsidRPr="00C24766">
        <w:rPr>
          <w:szCs w:val="20"/>
        </w:rPr>
        <w:t>art.</w:t>
      </w:r>
      <w:proofErr w:type="gramEnd"/>
      <w:r w:rsidRPr="00C24766">
        <w:rPr>
          <w:szCs w:val="20"/>
        </w:rPr>
        <w:t xml:space="preserve"> </w:t>
      </w:r>
      <w:proofErr w:type="gramStart"/>
      <w:r w:rsidRPr="00C24766">
        <w:rPr>
          <w:szCs w:val="20"/>
        </w:rPr>
        <w:t>I, § 22.</w:t>
      </w:r>
      <w:proofErr w:type="gramEnd"/>
    </w:p>
  </w:endnote>
  <w:endnote w:id="89">
    <w:p w:rsidR="00C24766" w:rsidRPr="00C24766" w:rsidRDefault="00C24766" w:rsidP="00C24766"/>
  </w:endnote>
  <w:endnote w:id="9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[90]</w:t>
      </w:r>
      <w:r w:rsidRPr="00C24766">
        <w:rPr>
          <w:szCs w:val="20"/>
        </w:rPr>
        <w:t xml:space="preserve"> </w:t>
      </w:r>
      <w:r w:rsidRPr="00C24766">
        <w:rPr>
          <w:i/>
          <w:szCs w:val="20"/>
        </w:rPr>
        <w:t xml:space="preserve">See, e.g., </w:t>
      </w:r>
      <w:proofErr w:type="spellStart"/>
      <w:r w:rsidRPr="00C24766">
        <w:rPr>
          <w:szCs w:val="20"/>
        </w:rPr>
        <w:t>Kalodimos</w:t>
      </w:r>
      <w:proofErr w:type="spellEnd"/>
      <w:r w:rsidRPr="00C24766">
        <w:rPr>
          <w:szCs w:val="20"/>
        </w:rPr>
        <w:t xml:space="preserve"> v. Village of Morton Grove, 470 N.E.2d 266 (Ill. 1984) (relying on special circumstances of legislative history of the Illinois provision, the court held the individual right is not violated by handgun ban).</w:t>
      </w:r>
    </w:p>
  </w:endnote>
  <w:endnote w:id="9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[91]</w:t>
      </w:r>
      <w:r w:rsidRPr="00C24766">
        <w:rPr>
          <w:szCs w:val="20"/>
        </w:rPr>
        <w:t xml:space="preserve"> </w:t>
      </w:r>
      <w:proofErr w:type="gramStart"/>
      <w:r w:rsidRPr="00C24766">
        <w:rPr>
          <w:caps/>
          <w:szCs w:val="20"/>
        </w:rPr>
        <w:t xml:space="preserve">Ind. Const. </w:t>
      </w:r>
      <w:r w:rsidRPr="00C24766">
        <w:rPr>
          <w:szCs w:val="20"/>
        </w:rPr>
        <w:t>art.</w:t>
      </w:r>
      <w:proofErr w:type="gramEnd"/>
      <w:r w:rsidRPr="00C24766">
        <w:rPr>
          <w:szCs w:val="20"/>
        </w:rPr>
        <w:t xml:space="preserve"> </w:t>
      </w:r>
      <w:proofErr w:type="gramStart"/>
      <w:r w:rsidRPr="00C24766">
        <w:rPr>
          <w:szCs w:val="20"/>
        </w:rPr>
        <w:t>I, § 32.</w:t>
      </w:r>
      <w:proofErr w:type="gramEnd"/>
    </w:p>
  </w:endnote>
  <w:endnote w:id="9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[92]</w:t>
      </w:r>
      <w:r w:rsidRPr="00C24766">
        <w:rPr>
          <w:szCs w:val="20"/>
        </w:rPr>
        <w:t xml:space="preserve"> </w:t>
      </w:r>
      <w:proofErr w:type="gramStart"/>
      <w:r w:rsidRPr="00C24766">
        <w:rPr>
          <w:caps/>
          <w:szCs w:val="20"/>
        </w:rPr>
        <w:t xml:space="preserve">Ind. Const. </w:t>
      </w:r>
      <w:r w:rsidRPr="00C24766">
        <w:rPr>
          <w:szCs w:val="20"/>
        </w:rPr>
        <w:t>of 1816, art.</w:t>
      </w:r>
      <w:proofErr w:type="gramEnd"/>
      <w:r w:rsidRPr="00C24766">
        <w:rPr>
          <w:szCs w:val="20"/>
        </w:rPr>
        <w:t xml:space="preserve"> </w:t>
      </w:r>
      <w:proofErr w:type="gramStart"/>
      <w:r w:rsidRPr="00C24766">
        <w:rPr>
          <w:szCs w:val="20"/>
        </w:rPr>
        <w:t>I, § 20.</w:t>
      </w:r>
      <w:proofErr w:type="gramEnd"/>
    </w:p>
  </w:endnote>
  <w:endnote w:id="9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[93]</w:t>
      </w:r>
      <w:r w:rsidRPr="00C24766">
        <w:rPr>
          <w:szCs w:val="20"/>
        </w:rPr>
        <w:t xml:space="preserve"> </w:t>
      </w:r>
      <w:r w:rsidRPr="00C24766">
        <w:rPr>
          <w:i/>
          <w:szCs w:val="20"/>
        </w:rPr>
        <w:t xml:space="preserve">See generally </w:t>
      </w:r>
      <w:r w:rsidRPr="00C24766">
        <w:rPr>
          <w:szCs w:val="20"/>
        </w:rPr>
        <w:t xml:space="preserve">Garry Wills, </w:t>
      </w:r>
      <w:r w:rsidRPr="00C24766">
        <w:rPr>
          <w:i/>
          <w:szCs w:val="20"/>
        </w:rPr>
        <w:t>supra</w:t>
      </w:r>
      <w:r w:rsidRPr="00C24766">
        <w:rPr>
          <w:szCs w:val="20"/>
        </w:rPr>
        <w:t xml:space="preserve"> </w:t>
      </w:r>
      <w:hyperlink r:id="rId58" w:anchor="_ednref22" w:history="1">
        <w:r w:rsidRPr="00C24766">
          <w:rPr>
            <w:rStyle w:val="Hyperlink"/>
            <w:szCs w:val="20"/>
          </w:rPr>
          <w:t>note 22</w:t>
        </w:r>
      </w:hyperlink>
      <w:r w:rsidRPr="00C24766">
        <w:rPr>
          <w:szCs w:val="20"/>
        </w:rPr>
        <w:t>.</w:t>
      </w:r>
    </w:p>
  </w:endnote>
  <w:endnote w:id="9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[94]</w:t>
      </w:r>
      <w:r w:rsidRPr="00C24766">
        <w:rPr>
          <w:i/>
          <w:szCs w:val="20"/>
        </w:rPr>
        <w:t>See, e.g.</w:t>
      </w:r>
      <w:r w:rsidRPr="00C24766">
        <w:rPr>
          <w:szCs w:val="20"/>
        </w:rPr>
        <w:t xml:space="preserve">, </w:t>
      </w:r>
      <w:hyperlink r:id="rId59" w:history="1">
        <w:r w:rsidRPr="00C24766">
          <w:rPr>
            <w:rStyle w:val="Hyperlink"/>
            <w:szCs w:val="20"/>
          </w:rPr>
          <w:t xml:space="preserve">Kellogg v. City of </w:t>
        </w:r>
      </w:hyperlink>
      <w:hyperlink r:id="rId60" w:history="1">
        <w:r w:rsidRPr="00C24766">
          <w:rPr>
            <w:rStyle w:val="Hyperlink"/>
            <w:szCs w:val="20"/>
          </w:rPr>
          <w:t>Gary</w:t>
        </w:r>
      </w:hyperlink>
      <w:r w:rsidRPr="00C24766">
        <w:rPr>
          <w:szCs w:val="20"/>
        </w:rPr>
        <w:t xml:space="preserve">, 562 N.E.2d 685 (Ind. 1990); </w:t>
      </w:r>
      <w:hyperlink r:id="rId61" w:history="1">
        <w:r w:rsidRPr="00C24766">
          <w:rPr>
            <w:rStyle w:val="Hyperlink"/>
            <w:szCs w:val="20"/>
          </w:rPr>
          <w:t>Gaddis v. State</w:t>
        </w:r>
      </w:hyperlink>
      <w:r w:rsidRPr="00C24766">
        <w:rPr>
          <w:szCs w:val="20"/>
        </w:rPr>
        <w:t xml:space="preserve">, 680 N.E.2d 860 (Ind. Ct. App. 1997) (right includes the substantive right to carry a handgun with a license); </w:t>
      </w:r>
      <w:hyperlink r:id="rId62" w:history="1">
        <w:proofErr w:type="spellStart"/>
        <w:r w:rsidRPr="00C24766">
          <w:rPr>
            <w:rStyle w:val="Hyperlink"/>
            <w:szCs w:val="20"/>
          </w:rPr>
          <w:t>Mcintyre</w:t>
        </w:r>
        <w:proofErr w:type="spellEnd"/>
        <w:r w:rsidRPr="00C24766">
          <w:rPr>
            <w:rStyle w:val="Hyperlink"/>
            <w:szCs w:val="20"/>
          </w:rPr>
          <w:t xml:space="preserve"> v. Stat</w:t>
        </w:r>
      </w:hyperlink>
      <w:r w:rsidRPr="00C24766">
        <w:rPr>
          <w:szCs w:val="20"/>
        </w:rPr>
        <w:t xml:space="preserve">e, 83 N.E. 1005 (Ind. 1908) (upholding restrictions on concealed weapons and emphasizing similarity of 1816 and 1851 arms rights);  </w:t>
      </w:r>
      <w:hyperlink r:id="rId63" w:history="1">
        <w:r w:rsidRPr="00C24766">
          <w:rPr>
            <w:rStyle w:val="Hyperlink"/>
            <w:szCs w:val="20"/>
          </w:rPr>
          <w:t xml:space="preserve">Schubert v. </w:t>
        </w:r>
        <w:proofErr w:type="spellStart"/>
        <w:r w:rsidRPr="00C24766">
          <w:rPr>
            <w:rStyle w:val="Hyperlink"/>
            <w:szCs w:val="20"/>
          </w:rPr>
          <w:t>DeBard</w:t>
        </w:r>
        <w:proofErr w:type="spellEnd"/>
      </w:hyperlink>
      <w:r w:rsidRPr="00C24766">
        <w:rPr>
          <w:szCs w:val="20"/>
        </w:rPr>
        <w:t xml:space="preserve">, 398 N.E.2d 1339 (Ind. Ct. App. 1980) (holding an applicant for license to carry a handgun for self-protection could not be denied for lack of a proper reason unless that person has been convicted of a felony or crime of violence). </w:t>
      </w:r>
    </w:p>
  </w:endnote>
  <w:endnote w:id="95">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[95]</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64" w:history="1">
        <w:r w:rsidRPr="00C24766">
          <w:rPr>
            <w:rStyle w:val="Hyperlink"/>
            <w:szCs w:val="20"/>
          </w:rPr>
          <w:t>http://www.law.ucla.edu/faculty/volokh/beararms/statecon.htm</w:t>
        </w:r>
      </w:hyperlink>
      <w:r w:rsidRPr="00C24766">
        <w:rPr>
          <w:szCs w:val="20"/>
        </w:rPr>
        <w:t>&gt;.</w:t>
      </w:r>
    </w:p>
  </w:endnote>
  <w:endnote w:id="9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[96]</w:t>
      </w:r>
      <w:r w:rsidRPr="00C24766">
        <w:rPr>
          <w:szCs w:val="20"/>
        </w:rPr>
        <w:t xml:space="preserve"> </w:t>
      </w:r>
      <w:r w:rsidRPr="00C24766">
        <w:rPr>
          <w:caps/>
          <w:szCs w:val="20"/>
        </w:rPr>
        <w:t xml:space="preserve">La.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11.</w:t>
      </w:r>
      <w:proofErr w:type="gramEnd"/>
    </w:p>
  </w:endnote>
  <w:endnote w:id="9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[97]</w:t>
      </w:r>
      <w:r w:rsidRPr="00C24766">
        <w:rPr>
          <w:szCs w:val="20"/>
        </w:rPr>
        <w:t xml:space="preserve">Other states which have similar provisions include: , Idaho, Kentucky, Mississippi, Missouri, Montana, New Mexico, and North Carolina; </w:t>
      </w:r>
      <w:r w:rsidRPr="00C24766">
        <w:rPr>
          <w:i/>
          <w:szCs w:val="20"/>
        </w:rPr>
        <w:t xml:space="preserve">see also </w:t>
      </w:r>
      <w:r w:rsidRPr="00C24766">
        <w:rPr>
          <w:szCs w:val="20"/>
        </w:rPr>
        <w:t xml:space="preserve">, Georgia, Tennessee and Texas Constitutions (power to regulate all types of arms carrying). </w:t>
      </w:r>
    </w:p>
  </w:endnote>
  <w:endnote w:id="9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[98]</w:t>
      </w:r>
      <w:r w:rsidRPr="00C24766">
        <w:rPr>
          <w:szCs w:val="20"/>
        </w:rPr>
        <w:t xml:space="preserve"> </w:t>
      </w:r>
      <w:r w:rsidRPr="00C24766">
        <w:rPr>
          <w:i/>
          <w:szCs w:val="20"/>
        </w:rPr>
        <w:t xml:space="preserve">E.g., </w:t>
      </w:r>
      <w:hyperlink r:id="rId65" w:history="1">
        <w:r w:rsidRPr="00C24766">
          <w:rPr>
            <w:rStyle w:val="Hyperlink"/>
            <w:szCs w:val="20"/>
          </w:rPr>
          <w:t>State v. Hamlin</w:t>
        </w:r>
      </w:hyperlink>
      <w:r w:rsidRPr="00C24766">
        <w:rPr>
          <w:szCs w:val="20"/>
        </w:rPr>
        <w:t>, 497 So.2d 1369 (La. 1986) (restricting sawed-off shotguns does not violate the individual right).</w:t>
      </w:r>
    </w:p>
  </w:endnote>
  <w:endnote w:id="9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[99]</w:t>
      </w:r>
      <w:r w:rsidRPr="00C24766">
        <w:rPr>
          <w:szCs w:val="20"/>
        </w:rPr>
        <w:t xml:space="preserve"> </w:t>
      </w:r>
      <w:r w:rsidRPr="00C24766">
        <w:rPr>
          <w:i/>
          <w:szCs w:val="20"/>
        </w:rPr>
        <w:t xml:space="preserve">See generally </w:t>
      </w:r>
      <w:hyperlink r:id="rId66" w:history="1">
        <w:r w:rsidRPr="00C24766">
          <w:rPr>
            <w:rStyle w:val="Hyperlink"/>
            <w:szCs w:val="20"/>
          </w:rPr>
          <w:t xml:space="preserve">State v. </w:t>
        </w:r>
        <w:proofErr w:type="spellStart"/>
        <w:r w:rsidRPr="00C24766">
          <w:rPr>
            <w:rStyle w:val="Hyperlink"/>
            <w:szCs w:val="20"/>
          </w:rPr>
          <w:t>Jumel</w:t>
        </w:r>
        <w:proofErr w:type="spellEnd"/>
      </w:hyperlink>
      <w:r w:rsidRPr="00C24766">
        <w:rPr>
          <w:szCs w:val="20"/>
        </w:rPr>
        <w:t xml:space="preserve">, 13 La. Ann. 399 (1858); State v. Chandler, 5 La. Ann. 489 (1850); </w:t>
      </w:r>
      <w:hyperlink r:id="rId67" w:history="1">
        <w:r w:rsidRPr="00C24766">
          <w:rPr>
            <w:rStyle w:val="Hyperlink"/>
            <w:szCs w:val="20"/>
          </w:rPr>
          <w:t>State v. Smith</w:t>
        </w:r>
      </w:hyperlink>
      <w:r w:rsidRPr="00C24766">
        <w:rPr>
          <w:szCs w:val="20"/>
        </w:rPr>
        <w:t>, 11 La. Ann. 633 (1856).</w:t>
      </w:r>
    </w:p>
  </w:endnote>
  <w:endnote w:id="10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[100]</w:t>
      </w:r>
      <w:r w:rsidRPr="00C24766">
        <w:rPr>
          <w:szCs w:val="20"/>
        </w:rPr>
        <w:t xml:space="preserve"> </w:t>
      </w:r>
      <w:r w:rsidRPr="00C24766">
        <w:rPr>
          <w:caps/>
          <w:szCs w:val="20"/>
        </w:rPr>
        <w:t xml:space="preserve">Me. </w:t>
      </w:r>
      <w:proofErr w:type="gramStart"/>
      <w:r w:rsidRPr="00C24766">
        <w:rPr>
          <w:caps/>
          <w:szCs w:val="20"/>
        </w:rPr>
        <w:t xml:space="preserve">Const. </w:t>
      </w:r>
      <w:r w:rsidRPr="00C24766">
        <w:rPr>
          <w:szCs w:val="20"/>
        </w:rPr>
        <w:t>of 1819, art.</w:t>
      </w:r>
      <w:proofErr w:type="gramEnd"/>
      <w:r w:rsidRPr="00C24766">
        <w:rPr>
          <w:szCs w:val="20"/>
        </w:rPr>
        <w:t xml:space="preserve"> </w:t>
      </w:r>
      <w:proofErr w:type="gramStart"/>
      <w:r w:rsidRPr="00C24766">
        <w:rPr>
          <w:szCs w:val="20"/>
        </w:rPr>
        <w:t>I, § 16.</w:t>
      </w:r>
      <w:proofErr w:type="gramEnd"/>
      <w:r w:rsidRPr="00C24766">
        <w:rPr>
          <w:szCs w:val="20"/>
        </w:rPr>
        <w:t xml:space="preserve"> </w:t>
      </w:r>
    </w:p>
  </w:endnote>
  <w:endnote w:id="10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[101]</w:t>
      </w:r>
      <w:r w:rsidRPr="00C24766">
        <w:rPr>
          <w:szCs w:val="20"/>
        </w:rPr>
        <w:t xml:space="preserve"> . </w:t>
      </w:r>
    </w:p>
  </w:endnote>
  <w:endnote w:id="10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[102]</w:t>
      </w:r>
      <w:r w:rsidRPr="00C24766">
        <w:rPr>
          <w:szCs w:val="20"/>
        </w:rPr>
        <w:t xml:space="preserve"> </w:t>
      </w:r>
      <w:r w:rsidRPr="00C24766">
        <w:rPr>
          <w:caps/>
          <w:szCs w:val="20"/>
        </w:rPr>
        <w:t xml:space="preserve">Me.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16.</w:t>
      </w:r>
      <w:proofErr w:type="gramEnd"/>
    </w:p>
  </w:endnote>
  <w:endnote w:id="10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[103]</w:t>
      </w:r>
      <w:r w:rsidRPr="00C24766">
        <w:rPr>
          <w:szCs w:val="20"/>
        </w:rPr>
        <w:t xml:space="preserve"> </w:t>
      </w:r>
      <w:r w:rsidRPr="00C24766">
        <w:rPr>
          <w:caps/>
          <w:szCs w:val="20"/>
        </w:rPr>
        <w:t xml:space="preserve">Mich.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6.</w:t>
      </w:r>
      <w:proofErr w:type="gramEnd"/>
    </w:p>
  </w:endnote>
  <w:endnote w:id="10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[104]</w:t>
      </w:r>
      <w:r w:rsidRPr="00C24766">
        <w:rPr>
          <w:szCs w:val="20"/>
        </w:rPr>
        <w:t xml:space="preserve"> </w:t>
      </w:r>
      <w:r w:rsidRPr="00C24766">
        <w:rPr>
          <w:i/>
          <w:szCs w:val="20"/>
        </w:rPr>
        <w:t>See</w:t>
      </w:r>
      <w:r w:rsidRPr="00C24766">
        <w:rPr>
          <w:szCs w:val="20"/>
        </w:rPr>
        <w:t xml:space="preserve"> </w:t>
      </w:r>
      <w:r w:rsidRPr="00C24766">
        <w:rPr>
          <w:i/>
          <w:szCs w:val="20"/>
        </w:rPr>
        <w:t xml:space="preserve">generally </w:t>
      </w:r>
      <w:r w:rsidRPr="00C24766">
        <w:rPr>
          <w:szCs w:val="20"/>
        </w:rPr>
        <w:t xml:space="preserve">David </w:t>
      </w:r>
      <w:proofErr w:type="spellStart"/>
      <w:r w:rsidRPr="00C24766">
        <w:rPr>
          <w:szCs w:val="20"/>
        </w:rPr>
        <w:t>Yassky</w:t>
      </w:r>
      <w:proofErr w:type="spellEnd"/>
      <w:r w:rsidRPr="00C24766">
        <w:rPr>
          <w:szCs w:val="20"/>
        </w:rPr>
        <w:t xml:space="preserve">, </w:t>
      </w:r>
      <w:r w:rsidRPr="00C24766">
        <w:rPr>
          <w:i/>
          <w:szCs w:val="20"/>
        </w:rPr>
        <w:t>supra</w:t>
      </w:r>
      <w:r w:rsidRPr="00C24766">
        <w:rPr>
          <w:szCs w:val="20"/>
        </w:rPr>
        <w:t xml:space="preserve"> </w:t>
      </w:r>
      <w:hyperlink r:id="rId68" w:anchor="_ednref10" w:history="1">
        <w:r w:rsidRPr="00C24766">
          <w:rPr>
            <w:rStyle w:val="Hyperlink"/>
            <w:szCs w:val="20"/>
          </w:rPr>
          <w:t>note 10</w:t>
        </w:r>
      </w:hyperlink>
      <w:r w:rsidRPr="00C24766">
        <w:rPr>
          <w:szCs w:val="20"/>
        </w:rPr>
        <w:t>.</w:t>
      </w:r>
    </w:p>
  </w:endnote>
  <w:endnote w:id="10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[105]</w:t>
      </w:r>
      <w:r w:rsidRPr="00C24766">
        <w:rPr>
          <w:szCs w:val="20"/>
        </w:rPr>
        <w:t xml:space="preserve"> </w:t>
      </w:r>
      <w:r w:rsidRPr="00C24766">
        <w:rPr>
          <w:i/>
          <w:szCs w:val="20"/>
        </w:rPr>
        <w:t>See, e.g.</w:t>
      </w:r>
      <w:r w:rsidRPr="00C24766">
        <w:rPr>
          <w:szCs w:val="20"/>
        </w:rPr>
        <w:t xml:space="preserve">, </w:t>
      </w:r>
      <w:hyperlink r:id="rId69" w:history="1">
        <w:r w:rsidRPr="00C24766">
          <w:rPr>
            <w:rStyle w:val="Hyperlink"/>
            <w:szCs w:val="20"/>
          </w:rPr>
          <w:t xml:space="preserve">People v. </w:t>
        </w:r>
        <w:proofErr w:type="spellStart"/>
        <w:r w:rsidRPr="00C24766">
          <w:rPr>
            <w:rStyle w:val="Hyperlink"/>
            <w:szCs w:val="20"/>
          </w:rPr>
          <w:t>Zerillo</w:t>
        </w:r>
        <w:proofErr w:type="spellEnd"/>
      </w:hyperlink>
      <w:r w:rsidRPr="00C24766">
        <w:rPr>
          <w:szCs w:val="20"/>
        </w:rPr>
        <w:t xml:space="preserve">, 189 N.W. 927 (Mich. 1922) (prohibition on </w:t>
      </w:r>
      <w:proofErr w:type="spellStart"/>
      <w:r w:rsidRPr="00C24766">
        <w:rPr>
          <w:szCs w:val="20"/>
        </w:rPr>
        <w:t>unnaturalized</w:t>
      </w:r>
      <w:proofErr w:type="spellEnd"/>
      <w:r w:rsidRPr="00C24766">
        <w:rPr>
          <w:szCs w:val="20"/>
        </w:rPr>
        <w:t xml:space="preserve">, foreign-born residents possessing a firearm is unconstitutional); </w:t>
      </w:r>
      <w:hyperlink r:id="rId70" w:history="1">
        <w:r w:rsidRPr="00C24766">
          <w:rPr>
            <w:rStyle w:val="Hyperlink"/>
            <w:szCs w:val="20"/>
          </w:rPr>
          <w:t>People v. Brown</w:t>
        </w:r>
      </w:hyperlink>
      <w:r w:rsidRPr="00C24766">
        <w:rPr>
          <w:szCs w:val="20"/>
        </w:rPr>
        <w:t xml:space="preserve">, 235 N.W. 245 (Mich. 1931) (“The protection of the constitution is not limited to militiamen nor military purposes, in terms, but extends to every person to bear arms for the defense of himself as well as of the state.”); </w:t>
      </w:r>
      <w:r w:rsidRPr="00C24766">
        <w:rPr>
          <w:i/>
          <w:szCs w:val="20"/>
        </w:rPr>
        <w:t>see also</w:t>
      </w:r>
      <w:r w:rsidRPr="00C24766">
        <w:rPr>
          <w:szCs w:val="20"/>
        </w:rPr>
        <w:t xml:space="preserve"> </w:t>
      </w:r>
      <w:hyperlink r:id="rId71" w:history="1">
        <w:r w:rsidRPr="00C24766">
          <w:rPr>
            <w:rStyle w:val="Hyperlink"/>
            <w:szCs w:val="20"/>
          </w:rPr>
          <w:t xml:space="preserve">State v. </w:t>
        </w:r>
        <w:proofErr w:type="spellStart"/>
        <w:r w:rsidRPr="00C24766">
          <w:rPr>
            <w:rStyle w:val="Hyperlink"/>
            <w:szCs w:val="20"/>
          </w:rPr>
          <w:t>Swint</w:t>
        </w:r>
        <w:proofErr w:type="spellEnd"/>
      </w:hyperlink>
      <w:r w:rsidRPr="00C24766">
        <w:rPr>
          <w:szCs w:val="20"/>
        </w:rPr>
        <w:t xml:space="preserve">, 572 N.W.2d 666 (Mich. Ct. App. 1997). </w:t>
      </w:r>
    </w:p>
  </w:endnote>
  <w:endnote w:id="10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[106]</w:t>
      </w:r>
      <w:r w:rsidRPr="00C24766">
        <w:rPr>
          <w:szCs w:val="20"/>
        </w:rPr>
        <w:t xml:space="preserve"> </w:t>
      </w:r>
      <w:r w:rsidRPr="00C24766">
        <w:rPr>
          <w:caps/>
          <w:szCs w:val="20"/>
        </w:rPr>
        <w:t xml:space="preserve">Miss.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III, § 12.</w:t>
      </w:r>
      <w:proofErr w:type="gramEnd"/>
    </w:p>
  </w:endnote>
  <w:endnote w:id="10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[107]</w:t>
      </w:r>
      <w:r w:rsidRPr="00C24766">
        <w:rPr>
          <w:szCs w:val="20"/>
        </w:rPr>
        <w:t xml:space="preserve"> </w:t>
      </w:r>
      <w:proofErr w:type="gramStart"/>
      <w:r w:rsidRPr="00C24766">
        <w:rPr>
          <w:caps/>
          <w:szCs w:val="20"/>
        </w:rPr>
        <w:t xml:space="preserve">Mo. Const. </w:t>
      </w:r>
      <w:r w:rsidRPr="00C24766">
        <w:rPr>
          <w:szCs w:val="20"/>
        </w:rPr>
        <w:t>art.</w:t>
      </w:r>
      <w:proofErr w:type="gramEnd"/>
      <w:r w:rsidRPr="00C24766">
        <w:rPr>
          <w:szCs w:val="20"/>
        </w:rPr>
        <w:t xml:space="preserve"> </w:t>
      </w:r>
      <w:proofErr w:type="gramStart"/>
      <w:r w:rsidRPr="00C24766">
        <w:rPr>
          <w:szCs w:val="20"/>
        </w:rPr>
        <w:t>I, § 23.</w:t>
      </w:r>
      <w:proofErr w:type="gramEnd"/>
    </w:p>
  </w:endnote>
  <w:endnote w:id="10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[108]</w:t>
      </w:r>
      <w:r w:rsidRPr="00C24766">
        <w:rPr>
          <w:szCs w:val="20"/>
        </w:rPr>
        <w:t xml:space="preserve"> </w:t>
      </w:r>
      <w:proofErr w:type="gramStart"/>
      <w:r w:rsidRPr="00C24766">
        <w:rPr>
          <w:caps/>
          <w:szCs w:val="20"/>
        </w:rPr>
        <w:t xml:space="preserve">Mo. Const. </w:t>
      </w:r>
      <w:r w:rsidRPr="00C24766">
        <w:rPr>
          <w:szCs w:val="20"/>
        </w:rPr>
        <w:t>of 1820, art.</w:t>
      </w:r>
      <w:proofErr w:type="gramEnd"/>
      <w:r w:rsidRPr="00C24766">
        <w:rPr>
          <w:szCs w:val="20"/>
        </w:rPr>
        <w:t xml:space="preserve"> </w:t>
      </w:r>
      <w:proofErr w:type="gramStart"/>
      <w:r w:rsidRPr="00C24766">
        <w:rPr>
          <w:szCs w:val="20"/>
        </w:rPr>
        <w:t>XIII, § 3.</w:t>
      </w:r>
      <w:proofErr w:type="gramEnd"/>
    </w:p>
  </w:endnote>
  <w:endnote w:id="109">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[109]</w:t>
      </w:r>
      <w:r w:rsidRPr="00C24766">
        <w:rPr>
          <w:szCs w:val="20"/>
        </w:rPr>
        <w:t xml:space="preserve"> </w:t>
      </w:r>
      <w:r w:rsidRPr="00C24766">
        <w:rPr>
          <w:i/>
          <w:szCs w:val="20"/>
        </w:rPr>
        <w:t>Id.</w:t>
      </w:r>
    </w:p>
  </w:endnote>
  <w:endnote w:id="11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[110]</w:t>
      </w:r>
      <w:r w:rsidRPr="00C24766">
        <w:rPr>
          <w:szCs w:val="20"/>
        </w:rPr>
        <w:t xml:space="preserve"> </w:t>
      </w:r>
      <w:hyperlink r:id="rId72" w:history="1">
        <w:proofErr w:type="gramStart"/>
        <w:r w:rsidRPr="00C24766">
          <w:rPr>
            <w:rStyle w:val="Hyperlink"/>
            <w:szCs w:val="20"/>
          </w:rPr>
          <w:t>92 U.S. 542</w:t>
        </w:r>
      </w:hyperlink>
      <w:r w:rsidRPr="00C24766">
        <w:rPr>
          <w:szCs w:val="20"/>
        </w:rPr>
        <w:t xml:space="preserve"> (1876).</w:t>
      </w:r>
      <w:proofErr w:type="gramEnd"/>
    </w:p>
  </w:endnote>
  <w:endnote w:id="11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[111]</w:t>
      </w:r>
      <w:r w:rsidRPr="00C24766">
        <w:rPr>
          <w:szCs w:val="20"/>
        </w:rPr>
        <w:t xml:space="preserve"> </w:t>
      </w:r>
      <w:proofErr w:type="gramStart"/>
      <w:r w:rsidRPr="00C24766">
        <w:rPr>
          <w:i/>
          <w:szCs w:val="20"/>
        </w:rPr>
        <w:t xml:space="preserve">Id. </w:t>
      </w:r>
      <w:r w:rsidRPr="00C24766">
        <w:rPr>
          <w:szCs w:val="20"/>
        </w:rPr>
        <w:t>at 555.</w:t>
      </w:r>
      <w:proofErr w:type="gramEnd"/>
    </w:p>
  </w:endnote>
  <w:endnote w:id="11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[112]</w:t>
      </w:r>
      <w:r w:rsidRPr="00C24766">
        <w:rPr>
          <w:szCs w:val="20"/>
        </w:rPr>
        <w:t xml:space="preserve"> Art. II, § 12 (1889; readopted 1972).</w:t>
      </w:r>
    </w:p>
  </w:endnote>
  <w:endnote w:id="11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[113]</w:t>
      </w:r>
      <w:r w:rsidRPr="00C24766">
        <w:rPr>
          <w:szCs w:val="20"/>
        </w:rPr>
        <w:t xml:space="preserve"> </w:t>
      </w:r>
      <w:r w:rsidRPr="00C24766">
        <w:rPr>
          <w:i/>
          <w:szCs w:val="20"/>
        </w:rPr>
        <w:t xml:space="preserve">See </w:t>
      </w:r>
      <w:r w:rsidRPr="00C24766">
        <w:rPr>
          <w:caps/>
          <w:szCs w:val="20"/>
        </w:rPr>
        <w:t xml:space="preserve">Colo. </w:t>
      </w:r>
      <w:proofErr w:type="gramStart"/>
      <w:r w:rsidRPr="00C24766">
        <w:rPr>
          <w:caps/>
          <w:szCs w:val="20"/>
        </w:rPr>
        <w:t>Const.</w:t>
      </w:r>
      <w:r w:rsidRPr="00C24766">
        <w:rPr>
          <w:szCs w:val="20"/>
        </w:rPr>
        <w:t xml:space="preserve"> art.</w:t>
      </w:r>
      <w:proofErr w:type="gramEnd"/>
      <w:r w:rsidRPr="00C24766">
        <w:rPr>
          <w:szCs w:val="20"/>
        </w:rPr>
        <w:t xml:space="preserve"> </w:t>
      </w:r>
      <w:proofErr w:type="gramStart"/>
      <w:r w:rsidRPr="00C24766">
        <w:rPr>
          <w:szCs w:val="20"/>
        </w:rPr>
        <w:t>II, § 13.</w:t>
      </w:r>
      <w:proofErr w:type="gramEnd"/>
    </w:p>
  </w:endnote>
  <w:endnote w:id="11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[114]</w:t>
      </w:r>
      <w:r w:rsidRPr="00C24766">
        <w:rPr>
          <w:szCs w:val="20"/>
        </w:rPr>
        <w:t xml:space="preserve"> </w:t>
      </w:r>
      <w:r w:rsidRPr="00C24766">
        <w:rPr>
          <w:caps/>
          <w:szCs w:val="20"/>
        </w:rPr>
        <w:t xml:space="preserve">Neb.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1.</w:t>
      </w:r>
      <w:proofErr w:type="gramEnd"/>
    </w:p>
  </w:endnote>
  <w:endnote w:id="11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[115]</w:t>
      </w:r>
      <w:r w:rsidRPr="00C24766">
        <w:rPr>
          <w:szCs w:val="20"/>
        </w:rPr>
        <w:t xml:space="preserve"> </w:t>
      </w:r>
      <w:proofErr w:type="gramStart"/>
      <w:r w:rsidRPr="00C24766">
        <w:rPr>
          <w:caps/>
          <w:szCs w:val="20"/>
        </w:rPr>
        <w:t xml:space="preserve">N.D. Const. </w:t>
      </w:r>
      <w:r w:rsidRPr="00C24766">
        <w:rPr>
          <w:szCs w:val="20"/>
        </w:rPr>
        <w:t>art.</w:t>
      </w:r>
      <w:proofErr w:type="gramEnd"/>
      <w:r w:rsidRPr="00C24766">
        <w:rPr>
          <w:szCs w:val="20"/>
        </w:rPr>
        <w:t xml:space="preserve"> </w:t>
      </w:r>
      <w:proofErr w:type="gramStart"/>
      <w:r w:rsidRPr="00C24766">
        <w:rPr>
          <w:szCs w:val="20"/>
        </w:rPr>
        <w:t>I, § 1.</w:t>
      </w:r>
      <w:proofErr w:type="gramEnd"/>
    </w:p>
  </w:endnote>
  <w:endnote w:id="11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[116]</w:t>
      </w:r>
      <w:r w:rsidRPr="00C24766">
        <w:rPr>
          <w:szCs w:val="20"/>
        </w:rPr>
        <w:t xml:space="preserve"> </w:t>
      </w:r>
      <w:r w:rsidRPr="00C24766">
        <w:rPr>
          <w:i/>
          <w:szCs w:val="20"/>
        </w:rPr>
        <w:t xml:space="preserve">See, e.g., </w:t>
      </w:r>
      <w:hyperlink r:id="rId73" w:history="1">
        <w:proofErr w:type="spellStart"/>
        <w:r w:rsidRPr="00C24766">
          <w:rPr>
            <w:rStyle w:val="Hyperlink"/>
            <w:szCs w:val="20"/>
          </w:rPr>
          <w:t>Kasprowicz</w:t>
        </w:r>
        <w:proofErr w:type="spellEnd"/>
        <w:r w:rsidRPr="00C24766">
          <w:rPr>
            <w:rStyle w:val="Hyperlink"/>
            <w:szCs w:val="20"/>
          </w:rPr>
          <w:t xml:space="preserve"> v. </w:t>
        </w:r>
        <w:proofErr w:type="spellStart"/>
        <w:r w:rsidRPr="00C24766">
          <w:rPr>
            <w:rStyle w:val="Hyperlink"/>
            <w:szCs w:val="20"/>
          </w:rPr>
          <w:t>Finck</w:t>
        </w:r>
        <w:proofErr w:type="spellEnd"/>
      </w:hyperlink>
      <w:r w:rsidRPr="00C24766">
        <w:rPr>
          <w:szCs w:val="20"/>
        </w:rPr>
        <w:t xml:space="preserve">, 574 N.W.2d 564 (N.D. 1998); State v. </w:t>
      </w:r>
      <w:proofErr w:type="spellStart"/>
      <w:r w:rsidRPr="00C24766">
        <w:rPr>
          <w:szCs w:val="20"/>
        </w:rPr>
        <w:t>Richhill</w:t>
      </w:r>
      <w:proofErr w:type="spellEnd"/>
      <w:r w:rsidRPr="00C24766">
        <w:rPr>
          <w:szCs w:val="20"/>
        </w:rPr>
        <w:t xml:space="preserve">, 415 N.W.2d 481 (N.D. 1987) (both holding that North Dakota’s right is individual and subject to reasonable regulation); </w:t>
      </w:r>
      <w:hyperlink r:id="rId74" w:history="1">
        <w:r w:rsidRPr="00C24766">
          <w:rPr>
            <w:rStyle w:val="Hyperlink"/>
            <w:szCs w:val="20"/>
          </w:rPr>
          <w:t xml:space="preserve">State v. </w:t>
        </w:r>
        <w:proofErr w:type="spellStart"/>
        <w:r w:rsidRPr="00C24766">
          <w:rPr>
            <w:rStyle w:val="Hyperlink"/>
            <w:szCs w:val="20"/>
          </w:rPr>
          <w:t>LaChapelle</w:t>
        </w:r>
        <w:proofErr w:type="spellEnd"/>
      </w:hyperlink>
      <w:r w:rsidRPr="00C24766">
        <w:rPr>
          <w:szCs w:val="20"/>
        </w:rPr>
        <w:t>, 449 N.W.2d 762 (Neb. 1990) (holding Nebraska’s right as individual, but upholding restriction on short shotguns).</w:t>
      </w:r>
    </w:p>
  </w:endnote>
  <w:endnote w:id="11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[117]</w:t>
      </w:r>
      <w:r w:rsidRPr="00C24766">
        <w:rPr>
          <w:szCs w:val="20"/>
        </w:rPr>
        <w:t xml:space="preserve"> </w:t>
      </w:r>
      <w:proofErr w:type="gramStart"/>
      <w:r w:rsidRPr="00C24766">
        <w:rPr>
          <w:caps/>
          <w:szCs w:val="20"/>
        </w:rPr>
        <w:t xml:space="preserve">U.S. Const. </w:t>
      </w:r>
      <w:r w:rsidRPr="00C24766">
        <w:rPr>
          <w:szCs w:val="20"/>
        </w:rPr>
        <w:t>art.</w:t>
      </w:r>
      <w:proofErr w:type="gramEnd"/>
      <w:r w:rsidRPr="00C24766">
        <w:rPr>
          <w:szCs w:val="20"/>
        </w:rPr>
        <w:t xml:space="preserve"> I, § 8, cl. 15 states in part: To provide for calling for the Militia to execute the Laws of the Union, suppress Insurrections and repel Invasions.   </w:t>
      </w:r>
      <w:r w:rsidRPr="00C24766">
        <w:rPr>
          <w:i/>
          <w:szCs w:val="20"/>
        </w:rPr>
        <w:t xml:space="preserve">See also </w:t>
      </w:r>
      <w:r w:rsidRPr="00C24766">
        <w:rPr>
          <w:szCs w:val="20"/>
        </w:rPr>
        <w:t xml:space="preserve">Don B. </w:t>
      </w:r>
      <w:proofErr w:type="spellStart"/>
      <w:r w:rsidRPr="00C24766">
        <w:rPr>
          <w:szCs w:val="20"/>
        </w:rPr>
        <w:t>Kates</w:t>
      </w:r>
      <w:proofErr w:type="spellEnd"/>
      <w:r w:rsidRPr="00C24766">
        <w:rPr>
          <w:szCs w:val="20"/>
        </w:rPr>
        <w:t xml:space="preserve">, </w:t>
      </w:r>
      <w:r w:rsidRPr="00C24766">
        <w:rPr>
          <w:i/>
          <w:szCs w:val="20"/>
        </w:rPr>
        <w:t xml:space="preserve">Second Amendment, in </w:t>
      </w:r>
      <w:r w:rsidRPr="00C24766">
        <w:rPr>
          <w:caps/>
          <w:szCs w:val="20"/>
        </w:rPr>
        <w:t xml:space="preserve">Encyclopedia of the American Constitution </w:t>
      </w:r>
      <w:r w:rsidRPr="00C24766">
        <w:rPr>
          <w:szCs w:val="20"/>
        </w:rPr>
        <w:t xml:space="preserve">1639 (Leonard Levy ed., 1986); Joyce Malcolm, </w:t>
      </w:r>
      <w:hyperlink r:id="rId75" w:history="1">
        <w:r w:rsidRPr="00C24766">
          <w:rPr>
            <w:rStyle w:val="Hyperlink"/>
            <w:i/>
            <w:szCs w:val="20"/>
          </w:rPr>
          <w:t xml:space="preserve">The Right of the People to Keep and Bear Arms: </w:t>
        </w:r>
        <w:proofErr w:type="gramStart"/>
        <w:r w:rsidRPr="00C24766">
          <w:rPr>
            <w:rStyle w:val="Hyperlink"/>
            <w:i/>
            <w:szCs w:val="20"/>
          </w:rPr>
          <w:t>The</w:t>
        </w:r>
        <w:proofErr w:type="gramEnd"/>
        <w:r w:rsidRPr="00C24766">
          <w:rPr>
            <w:rStyle w:val="Hyperlink"/>
            <w:i/>
            <w:szCs w:val="20"/>
          </w:rPr>
          <w:t xml:space="preserve"> Common Law Tradition</w:t>
        </w:r>
      </w:hyperlink>
      <w:r w:rsidRPr="00C24766">
        <w:rPr>
          <w:i/>
          <w:szCs w:val="20"/>
        </w:rPr>
        <w:t xml:space="preserve">, </w:t>
      </w:r>
      <w:r w:rsidRPr="00C24766">
        <w:rPr>
          <w:szCs w:val="20"/>
        </w:rPr>
        <w:t xml:space="preserve">10 </w:t>
      </w:r>
      <w:r w:rsidRPr="00C24766">
        <w:rPr>
          <w:caps/>
          <w:szCs w:val="20"/>
        </w:rPr>
        <w:t>Hastings Const. L.Q. 285 (1983).</w:t>
      </w:r>
    </w:p>
  </w:endnote>
  <w:endnote w:id="118">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[118]</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76" w:history="1">
        <w:r w:rsidRPr="00C24766">
          <w:rPr>
            <w:rStyle w:val="Hyperlink"/>
            <w:szCs w:val="20"/>
          </w:rPr>
          <w:t>http://www.law.ucla.edu/faculty/volokh/beararms/statecon.htm</w:t>
        </w:r>
      </w:hyperlink>
      <w:r w:rsidRPr="00C24766">
        <w:rPr>
          <w:szCs w:val="20"/>
        </w:rPr>
        <w:t>&gt;</w:t>
      </w:r>
    </w:p>
  </w:endnote>
  <w:endnote w:id="11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[119]</w:t>
      </w:r>
      <w:r w:rsidRPr="00C24766">
        <w:rPr>
          <w:szCs w:val="20"/>
        </w:rPr>
        <w:t xml:space="preserve"> </w:t>
      </w:r>
      <w:r w:rsidRPr="00C24766">
        <w:rPr>
          <w:caps/>
          <w:szCs w:val="20"/>
        </w:rPr>
        <w:t xml:space="preserve">Nev.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11(1).</w:t>
      </w:r>
      <w:proofErr w:type="gramEnd"/>
    </w:p>
  </w:endnote>
  <w:endnote w:id="12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[120]</w:t>
      </w:r>
      <w:r w:rsidRPr="00C24766">
        <w:rPr>
          <w:szCs w:val="20"/>
        </w:rPr>
        <w:t xml:space="preserve"> </w:t>
      </w:r>
      <w:proofErr w:type="gramStart"/>
      <w:r w:rsidRPr="00C24766">
        <w:rPr>
          <w:caps/>
          <w:szCs w:val="20"/>
        </w:rPr>
        <w:t xml:space="preserve">N.H. Const. </w:t>
      </w:r>
      <w:r w:rsidRPr="00C24766">
        <w:rPr>
          <w:szCs w:val="20"/>
        </w:rPr>
        <w:t>pt. 1, art.</w:t>
      </w:r>
      <w:proofErr w:type="gramEnd"/>
      <w:r w:rsidRPr="00C24766">
        <w:rPr>
          <w:szCs w:val="20"/>
        </w:rPr>
        <w:t xml:space="preserve"> 2</w:t>
      </w:r>
      <w:r w:rsidRPr="00C24766">
        <w:rPr>
          <w:szCs w:val="20"/>
        </w:rPr>
        <w:noBreakHyphen/>
        <w:t xml:space="preserve">a. </w:t>
      </w:r>
    </w:p>
  </w:endnote>
  <w:endnote w:id="12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[121]</w:t>
      </w:r>
      <w:r w:rsidRPr="00C24766">
        <w:rPr>
          <w:szCs w:val="20"/>
        </w:rPr>
        <w:t xml:space="preserve"> </w:t>
      </w:r>
      <w:proofErr w:type="gramStart"/>
      <w:r w:rsidRPr="00C24766">
        <w:rPr>
          <w:caps/>
          <w:szCs w:val="20"/>
        </w:rPr>
        <w:t xml:space="preserve">N.M. Const. </w:t>
      </w:r>
      <w:r w:rsidRPr="00C24766">
        <w:rPr>
          <w:szCs w:val="20"/>
        </w:rPr>
        <w:t>of 1912, art.</w:t>
      </w:r>
      <w:proofErr w:type="gramEnd"/>
      <w:r w:rsidRPr="00C24766">
        <w:rPr>
          <w:szCs w:val="20"/>
        </w:rPr>
        <w:t xml:space="preserve"> </w:t>
      </w:r>
      <w:proofErr w:type="gramStart"/>
      <w:r w:rsidRPr="00C24766">
        <w:rPr>
          <w:szCs w:val="20"/>
        </w:rPr>
        <w:t>II, § 6.</w:t>
      </w:r>
      <w:proofErr w:type="gramEnd"/>
    </w:p>
  </w:endnote>
  <w:endnote w:id="12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[122]</w:t>
      </w:r>
      <w:r w:rsidRPr="00C24766">
        <w:rPr>
          <w:szCs w:val="20"/>
        </w:rPr>
        <w:t xml:space="preserve"> </w:t>
      </w:r>
      <w:proofErr w:type="gramStart"/>
      <w:r w:rsidRPr="00C24766">
        <w:rPr>
          <w:caps/>
          <w:szCs w:val="20"/>
        </w:rPr>
        <w:t xml:space="preserve">N.M. Const. </w:t>
      </w:r>
      <w:r w:rsidRPr="00C24766">
        <w:rPr>
          <w:szCs w:val="20"/>
        </w:rPr>
        <w:t>art.</w:t>
      </w:r>
      <w:proofErr w:type="gramEnd"/>
      <w:r w:rsidRPr="00C24766">
        <w:rPr>
          <w:szCs w:val="20"/>
        </w:rPr>
        <w:t xml:space="preserve"> II, § 6</w:t>
      </w:r>
    </w:p>
  </w:endnote>
  <w:endnote w:id="123">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[123]</w:t>
      </w:r>
      <w:r w:rsidRPr="00C24766">
        <w:rPr>
          <w:szCs w:val="20"/>
        </w:rPr>
        <w:t xml:space="preserve"> </w:t>
      </w:r>
      <w:r w:rsidRPr="00C24766">
        <w:rPr>
          <w:i/>
          <w:szCs w:val="20"/>
        </w:rPr>
        <w:t>Id.</w:t>
      </w:r>
    </w:p>
  </w:endnote>
  <w:endnote w:id="12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[124]</w:t>
      </w:r>
      <w:r w:rsidRPr="00C24766">
        <w:rPr>
          <w:caps/>
          <w:szCs w:val="20"/>
        </w:rPr>
        <w:t xml:space="preserve"> </w:t>
      </w:r>
      <w:r w:rsidRPr="00C24766">
        <w:rPr>
          <w:i/>
          <w:caps/>
          <w:szCs w:val="20"/>
        </w:rPr>
        <w:t>I</w:t>
      </w:r>
      <w:r w:rsidRPr="00C24766">
        <w:rPr>
          <w:i/>
          <w:szCs w:val="20"/>
        </w:rPr>
        <w:t>d.</w:t>
      </w:r>
    </w:p>
  </w:endnote>
  <w:endnote w:id="12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[125]</w:t>
      </w:r>
      <w:r w:rsidRPr="00C24766">
        <w:rPr>
          <w:szCs w:val="20"/>
        </w:rPr>
        <w:t xml:space="preserve"> </w:t>
      </w:r>
      <w:hyperlink r:id="rId77" w:history="1">
        <w:r w:rsidRPr="00C24766">
          <w:rPr>
            <w:rStyle w:val="Hyperlink"/>
            <w:szCs w:val="20"/>
          </w:rPr>
          <w:t xml:space="preserve">City of Las Vegas v. </w:t>
        </w:r>
        <w:proofErr w:type="spellStart"/>
        <w:r w:rsidRPr="00C24766">
          <w:rPr>
            <w:rStyle w:val="Hyperlink"/>
            <w:szCs w:val="20"/>
          </w:rPr>
          <w:t>Moberg</w:t>
        </w:r>
        <w:proofErr w:type="spellEnd"/>
      </w:hyperlink>
      <w:r w:rsidRPr="00C24766">
        <w:rPr>
          <w:szCs w:val="20"/>
        </w:rPr>
        <w:t>, 485 P.2d 737 (N.M. Ct. App. 1971) (declaring void a gun carrying ordinance making it unlawful for any person to carry a deadly weapon, concealed or otherwise, within the corporation limits of the municipality).</w:t>
      </w:r>
    </w:p>
  </w:endnote>
  <w:endnote w:id="126">
    <w:p w:rsidR="00C24766" w:rsidRPr="00C24766" w:rsidRDefault="00C24766" w:rsidP="00C24766">
      <w:pPr>
        <w:pStyle w:val="NormalWeb"/>
        <w:numPr>
          <w:ilvl w:val="12"/>
          <w:numId w:val="0"/>
        </w:numPr>
        <w:spacing w:before="0" w:beforeAutospacing="0" w:after="0" w:afterAutospacing="0"/>
        <w:jc w:val="both"/>
      </w:pPr>
      <w:r w:rsidRPr="00C24766">
        <w:rPr>
          <w:rStyle w:val="EndnoteReference"/>
        </w:rPr>
        <w:endnoteRef/>
      </w:r>
      <w:r w:rsidRPr="00C24766">
        <w:rPr>
          <w:rStyle w:val="EndnoteReference"/>
          <w:szCs w:val="20"/>
        </w:rPr>
        <w:t>[126]</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 xml:space="preserve">State Constitutional Right to Keep and Bear Arms Provisions </w:t>
      </w:r>
      <w:r w:rsidRPr="00C24766">
        <w:rPr>
          <w:szCs w:val="20"/>
        </w:rPr>
        <w:t>(visited Feb. 20, 2002) &lt;</w:t>
      </w:r>
      <w:hyperlink r:id="rId78" w:history="1">
        <w:r w:rsidRPr="00C24766">
          <w:rPr>
            <w:rStyle w:val="Hyperlink"/>
            <w:szCs w:val="20"/>
          </w:rPr>
          <w:t>http://www.law.ucla.edu/faculty/volokh/beararms/statecon.htm</w:t>
        </w:r>
      </w:hyperlink>
      <w:r w:rsidRPr="00C24766">
        <w:rPr>
          <w:szCs w:val="20"/>
        </w:rPr>
        <w:t>&gt;.</w:t>
      </w:r>
    </w:p>
  </w:endnote>
  <w:endnote w:id="12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[127]</w:t>
      </w:r>
      <w:r w:rsidRPr="00C24766">
        <w:rPr>
          <w:szCs w:val="20"/>
        </w:rPr>
        <w:t xml:space="preserve"> </w:t>
      </w:r>
      <w:proofErr w:type="gramStart"/>
      <w:r w:rsidRPr="00C24766">
        <w:rPr>
          <w:caps/>
          <w:szCs w:val="20"/>
        </w:rPr>
        <w:t>Ohio Const.</w:t>
      </w:r>
      <w:r w:rsidRPr="00C24766">
        <w:rPr>
          <w:szCs w:val="20"/>
        </w:rPr>
        <w:t xml:space="preserve"> art.</w:t>
      </w:r>
      <w:proofErr w:type="gramEnd"/>
      <w:r w:rsidRPr="00C24766">
        <w:rPr>
          <w:szCs w:val="20"/>
        </w:rPr>
        <w:t xml:space="preserve"> I, §</w:t>
      </w:r>
      <w:proofErr w:type="gramStart"/>
      <w:r w:rsidRPr="00C24766">
        <w:rPr>
          <w:szCs w:val="20"/>
        </w:rPr>
        <w:t>  4</w:t>
      </w:r>
      <w:proofErr w:type="gramEnd"/>
      <w:r w:rsidRPr="00C24766">
        <w:rPr>
          <w:szCs w:val="20"/>
        </w:rPr>
        <w:t>.</w:t>
      </w:r>
    </w:p>
  </w:endnote>
  <w:endnote w:id="12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[128]</w:t>
      </w:r>
      <w:r w:rsidRPr="00C24766">
        <w:rPr>
          <w:szCs w:val="20"/>
        </w:rPr>
        <w:t xml:space="preserve"> </w:t>
      </w:r>
      <w:proofErr w:type="gramStart"/>
      <w:r w:rsidRPr="00C24766">
        <w:rPr>
          <w:caps/>
          <w:szCs w:val="20"/>
        </w:rPr>
        <w:t xml:space="preserve">Ohio Const. </w:t>
      </w:r>
      <w:r w:rsidRPr="00C24766">
        <w:rPr>
          <w:szCs w:val="20"/>
        </w:rPr>
        <w:t>of 1802, art.</w:t>
      </w:r>
      <w:proofErr w:type="gramEnd"/>
      <w:r w:rsidRPr="00C24766">
        <w:rPr>
          <w:szCs w:val="20"/>
        </w:rPr>
        <w:t xml:space="preserve"> VIII, §</w:t>
      </w:r>
      <w:proofErr w:type="gramStart"/>
      <w:r w:rsidRPr="00C24766">
        <w:rPr>
          <w:szCs w:val="20"/>
        </w:rPr>
        <w:t>  20</w:t>
      </w:r>
      <w:proofErr w:type="gramEnd"/>
      <w:r w:rsidRPr="00C24766">
        <w:rPr>
          <w:szCs w:val="20"/>
        </w:rPr>
        <w:t>.</w:t>
      </w:r>
    </w:p>
  </w:endnote>
  <w:endnote w:id="12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[129]</w:t>
      </w:r>
      <w:r w:rsidRPr="00C24766">
        <w:rPr>
          <w:szCs w:val="20"/>
        </w:rPr>
        <w:t xml:space="preserve"> </w:t>
      </w:r>
      <w:r w:rsidRPr="00C24766">
        <w:rPr>
          <w:i/>
          <w:szCs w:val="20"/>
        </w:rPr>
        <w:t xml:space="preserve">See </w:t>
      </w:r>
      <w:r w:rsidRPr="00C24766">
        <w:rPr>
          <w:caps/>
          <w:szCs w:val="20"/>
        </w:rPr>
        <w:t xml:space="preserve">N.M. Const. </w:t>
      </w:r>
      <w:r w:rsidRPr="00C24766">
        <w:rPr>
          <w:szCs w:val="20"/>
        </w:rPr>
        <w:t xml:space="preserve">of 1912, </w:t>
      </w:r>
      <w:proofErr w:type="spellStart"/>
      <w:r w:rsidRPr="00C24766">
        <w:rPr>
          <w:szCs w:val="20"/>
        </w:rPr>
        <w:t>art.II</w:t>
      </w:r>
      <w:proofErr w:type="spellEnd"/>
      <w:r w:rsidRPr="00C24766">
        <w:rPr>
          <w:szCs w:val="20"/>
        </w:rPr>
        <w:t>, § 6.</w:t>
      </w:r>
    </w:p>
  </w:endnote>
  <w:endnote w:id="13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[130]</w:t>
      </w:r>
      <w:r w:rsidRPr="00C24766">
        <w:rPr>
          <w:szCs w:val="20"/>
        </w:rPr>
        <w:t xml:space="preserve"> </w:t>
      </w:r>
      <w:r w:rsidRPr="00C24766">
        <w:rPr>
          <w:i/>
          <w:szCs w:val="20"/>
        </w:rPr>
        <w:t>See, e.g</w:t>
      </w:r>
      <w:r w:rsidRPr="00C24766">
        <w:rPr>
          <w:szCs w:val="20"/>
        </w:rPr>
        <w:t xml:space="preserve">., (upholding "assault weapon” ban as reasonable regulation of the right to possess certain firearms for defense of self and property); In re Reilly, 31 Ohio Dec. 364 (C.P. 1919) (striking ordinance forbidding hiring armed guard to protect property); </w:t>
      </w:r>
      <w:r w:rsidRPr="00C24766">
        <w:rPr>
          <w:i/>
          <w:szCs w:val="20"/>
        </w:rPr>
        <w:t>see also</w:t>
      </w:r>
      <w:r w:rsidRPr="00C24766">
        <w:rPr>
          <w:szCs w:val="20"/>
        </w:rPr>
        <w:t xml:space="preserve"> David B. </w:t>
      </w:r>
      <w:proofErr w:type="spellStart"/>
      <w:r w:rsidRPr="00C24766">
        <w:rPr>
          <w:szCs w:val="20"/>
        </w:rPr>
        <w:t>Kopel</w:t>
      </w:r>
      <w:proofErr w:type="spellEnd"/>
      <w:r w:rsidRPr="00C24766">
        <w:rPr>
          <w:szCs w:val="20"/>
        </w:rPr>
        <w:t xml:space="preserve">, Clayton Cramer &amp; Scott </w:t>
      </w:r>
      <w:proofErr w:type="spellStart"/>
      <w:r w:rsidRPr="00C24766">
        <w:rPr>
          <w:szCs w:val="20"/>
        </w:rPr>
        <w:t>Hattrup</w:t>
      </w:r>
      <w:proofErr w:type="spellEnd"/>
      <w:r w:rsidRPr="00C24766">
        <w:rPr>
          <w:szCs w:val="20"/>
        </w:rPr>
        <w:t xml:space="preserve">, </w:t>
      </w:r>
      <w:r w:rsidRPr="00C24766">
        <w:rPr>
          <w:i/>
          <w:szCs w:val="20"/>
        </w:rPr>
        <w:t>A Tale of Three Cities: The Right to Bear Arms in State Courts</w:t>
      </w:r>
      <w:r w:rsidRPr="00C24766">
        <w:rPr>
          <w:szCs w:val="20"/>
        </w:rPr>
        <w:t xml:space="preserve">,  68 </w:t>
      </w:r>
      <w:r w:rsidRPr="00C24766">
        <w:rPr>
          <w:caps/>
          <w:szCs w:val="20"/>
        </w:rPr>
        <w:t xml:space="preserve">Temple L. Rev. </w:t>
      </w:r>
      <w:r w:rsidRPr="00C24766">
        <w:rPr>
          <w:szCs w:val="20"/>
        </w:rPr>
        <w:t>1177 (1995) (discussing jurisprudence in Colorado, Ohio, and Oregon).</w:t>
      </w:r>
    </w:p>
  </w:endnote>
  <w:endnote w:id="13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[131]</w:t>
      </w:r>
      <w:r w:rsidRPr="00C24766">
        <w:rPr>
          <w:szCs w:val="20"/>
        </w:rPr>
        <w:t xml:space="preserve"> </w:t>
      </w:r>
      <w:r w:rsidRPr="00C24766">
        <w:rPr>
          <w:caps/>
          <w:szCs w:val="20"/>
        </w:rPr>
        <w:t xml:space="preserve">Okla. </w:t>
      </w:r>
      <w:proofErr w:type="gramStart"/>
      <w:r w:rsidRPr="00C24766">
        <w:rPr>
          <w:caps/>
          <w:szCs w:val="20"/>
        </w:rPr>
        <w:t xml:space="preserve">Const. </w:t>
      </w:r>
      <w:r w:rsidRPr="00C24766">
        <w:rPr>
          <w:szCs w:val="20"/>
        </w:rPr>
        <w:t>art.</w:t>
      </w:r>
      <w:proofErr w:type="gramEnd"/>
      <w:r w:rsidRPr="00C24766">
        <w:rPr>
          <w:szCs w:val="20"/>
        </w:rPr>
        <w:t xml:space="preserve"> II, §</w:t>
      </w:r>
      <w:proofErr w:type="gramStart"/>
      <w:r w:rsidRPr="00C24766">
        <w:rPr>
          <w:szCs w:val="20"/>
        </w:rPr>
        <w:t>  26</w:t>
      </w:r>
      <w:proofErr w:type="gramEnd"/>
      <w:r w:rsidRPr="00C24766">
        <w:rPr>
          <w:szCs w:val="20"/>
        </w:rPr>
        <w:t>.</w:t>
      </w:r>
    </w:p>
  </w:endnote>
  <w:endnote w:id="13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[132]</w:t>
      </w:r>
      <w:r w:rsidRPr="00C24766">
        <w:rPr>
          <w:szCs w:val="20"/>
        </w:rPr>
        <w:t xml:space="preserve"> </w:t>
      </w:r>
      <w:r w:rsidRPr="00C24766">
        <w:rPr>
          <w:caps/>
          <w:szCs w:val="20"/>
        </w:rPr>
        <w:t xml:space="preserve">Or. </w:t>
      </w:r>
      <w:proofErr w:type="gramStart"/>
      <w:r w:rsidRPr="00C24766">
        <w:rPr>
          <w:caps/>
          <w:szCs w:val="20"/>
        </w:rPr>
        <w:t xml:space="preserve">Const. </w:t>
      </w:r>
      <w:r w:rsidRPr="00C24766">
        <w:rPr>
          <w:szCs w:val="20"/>
        </w:rPr>
        <w:t>art.</w:t>
      </w:r>
      <w:proofErr w:type="gramEnd"/>
      <w:r w:rsidRPr="00C24766">
        <w:rPr>
          <w:szCs w:val="20"/>
        </w:rPr>
        <w:t xml:space="preserve"> I, §</w:t>
      </w:r>
      <w:proofErr w:type="gramStart"/>
      <w:r w:rsidRPr="00C24766">
        <w:rPr>
          <w:szCs w:val="20"/>
        </w:rPr>
        <w:t>  27</w:t>
      </w:r>
      <w:proofErr w:type="gramEnd"/>
      <w:r w:rsidRPr="00C24766">
        <w:rPr>
          <w:szCs w:val="20"/>
        </w:rPr>
        <w:t>.</w:t>
      </w:r>
    </w:p>
  </w:endnote>
  <w:endnote w:id="13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[133]</w:t>
      </w:r>
      <w:r w:rsidRPr="00C24766">
        <w:rPr>
          <w:szCs w:val="20"/>
        </w:rPr>
        <w:t xml:space="preserve"> </w:t>
      </w:r>
      <w:proofErr w:type="gramStart"/>
      <w:r w:rsidRPr="00C24766">
        <w:rPr>
          <w:szCs w:val="20"/>
        </w:rPr>
        <w:t>Barnett v. State, 695 P.2d 991 (Or.</w:t>
      </w:r>
      <w:proofErr w:type="gramEnd"/>
      <w:r w:rsidRPr="00C24766">
        <w:rPr>
          <w:szCs w:val="20"/>
        </w:rPr>
        <w:t xml:space="preserve"> Ct. App. 1985) (holding a prohibition on black jacks was unconstitutional); (holding a prohibition on switchblade knives was unconstitutional); (holding that possession of a </w:t>
      </w:r>
      <w:proofErr w:type="spellStart"/>
      <w:r w:rsidRPr="00C24766">
        <w:rPr>
          <w:szCs w:val="20"/>
        </w:rPr>
        <w:t>billy</w:t>
      </w:r>
      <w:proofErr w:type="spellEnd"/>
      <w:r w:rsidRPr="00C24766">
        <w:rPr>
          <w:szCs w:val="20"/>
        </w:rPr>
        <w:t xml:space="preserve"> club in public was protected by constitutional right to bear arms); (possessing a </w:t>
      </w:r>
      <w:proofErr w:type="spellStart"/>
      <w:r w:rsidRPr="00C24766">
        <w:rPr>
          <w:szCs w:val="20"/>
        </w:rPr>
        <w:t>billy</w:t>
      </w:r>
      <w:proofErr w:type="spellEnd"/>
      <w:r w:rsidRPr="00C24766">
        <w:rPr>
          <w:szCs w:val="20"/>
        </w:rPr>
        <w:t xml:space="preserve"> club in own home is protected by right to bear arms provision of Oregon Constitution).</w:t>
      </w:r>
    </w:p>
  </w:endnote>
  <w:endnote w:id="13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[134]</w:t>
      </w:r>
      <w:r w:rsidRPr="00C24766">
        <w:rPr>
          <w:szCs w:val="20"/>
        </w:rPr>
        <w:t xml:space="preserve"> </w:t>
      </w:r>
      <w:r w:rsidRPr="00C24766">
        <w:rPr>
          <w:i/>
          <w:szCs w:val="20"/>
        </w:rPr>
        <w:t>See</w:t>
      </w:r>
      <w:r w:rsidRPr="00C24766">
        <w:rPr>
          <w:szCs w:val="20"/>
        </w:rPr>
        <w:t xml:space="preserve"> </w:t>
      </w:r>
      <w:hyperlink r:id="rId79" w:history="1">
        <w:r w:rsidRPr="00C24766">
          <w:rPr>
            <w:rStyle w:val="Hyperlink"/>
            <w:szCs w:val="20"/>
          </w:rPr>
          <w:t>Luther v. Borden</w:t>
        </w:r>
      </w:hyperlink>
      <w:r w:rsidRPr="00C24766">
        <w:rPr>
          <w:szCs w:val="20"/>
        </w:rPr>
        <w:t>, 48 U.S. 1, 4 (1849).</w:t>
      </w:r>
    </w:p>
  </w:endnote>
  <w:endnote w:id="13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[135]</w:t>
      </w:r>
      <w:r w:rsidRPr="00C24766">
        <w:rPr>
          <w:szCs w:val="20"/>
        </w:rPr>
        <w:t xml:space="preserve"> </w:t>
      </w:r>
      <w:r w:rsidRPr="00C24766">
        <w:rPr>
          <w:i/>
          <w:szCs w:val="20"/>
        </w:rPr>
        <w:t>See generally</w:t>
      </w:r>
      <w:r w:rsidRPr="00C24766">
        <w:rPr>
          <w:szCs w:val="20"/>
        </w:rPr>
        <w:t xml:space="preserve"> </w:t>
      </w:r>
      <w:r w:rsidRPr="00C24766">
        <w:rPr>
          <w:i/>
          <w:szCs w:val="20"/>
        </w:rPr>
        <w:t>id.</w:t>
      </w:r>
    </w:p>
  </w:endnote>
  <w:endnote w:id="13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[136]</w:t>
      </w:r>
      <w:r w:rsidRPr="00C24766">
        <w:rPr>
          <w:szCs w:val="20"/>
        </w:rPr>
        <w:t xml:space="preserve"> </w:t>
      </w:r>
      <w:proofErr w:type="gramStart"/>
      <w:r w:rsidRPr="00C24766">
        <w:rPr>
          <w:caps/>
          <w:szCs w:val="20"/>
        </w:rPr>
        <w:t xml:space="preserve">R.I. Const. </w:t>
      </w:r>
      <w:r w:rsidRPr="00C24766">
        <w:rPr>
          <w:szCs w:val="20"/>
        </w:rPr>
        <w:t>art.</w:t>
      </w:r>
      <w:proofErr w:type="gramEnd"/>
      <w:r w:rsidRPr="00C24766">
        <w:rPr>
          <w:szCs w:val="20"/>
        </w:rPr>
        <w:t xml:space="preserve"> </w:t>
      </w:r>
      <w:proofErr w:type="gramStart"/>
      <w:r w:rsidRPr="00C24766">
        <w:rPr>
          <w:szCs w:val="20"/>
        </w:rPr>
        <w:t>I, § 22.</w:t>
      </w:r>
      <w:proofErr w:type="gramEnd"/>
    </w:p>
  </w:endnote>
  <w:endnote w:id="13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[137]</w:t>
      </w:r>
      <w:r w:rsidRPr="00C24766">
        <w:rPr>
          <w:szCs w:val="20"/>
        </w:rPr>
        <w:t xml:space="preserve"> </w:t>
      </w:r>
      <w:proofErr w:type="gramStart"/>
      <w:r w:rsidRPr="00C24766">
        <w:rPr>
          <w:caps/>
          <w:szCs w:val="20"/>
        </w:rPr>
        <w:t xml:space="preserve">S.D. Const. </w:t>
      </w:r>
      <w:r w:rsidRPr="00C24766">
        <w:rPr>
          <w:szCs w:val="20"/>
        </w:rPr>
        <w:t>art.</w:t>
      </w:r>
      <w:proofErr w:type="gramEnd"/>
      <w:r w:rsidRPr="00C24766">
        <w:rPr>
          <w:szCs w:val="20"/>
        </w:rPr>
        <w:t xml:space="preserve"> </w:t>
      </w:r>
      <w:proofErr w:type="gramStart"/>
      <w:r w:rsidRPr="00C24766">
        <w:rPr>
          <w:szCs w:val="20"/>
        </w:rPr>
        <w:t>VI, § 24.</w:t>
      </w:r>
      <w:proofErr w:type="gramEnd"/>
    </w:p>
  </w:endnote>
  <w:endnote w:id="13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[138]</w:t>
      </w:r>
      <w:r w:rsidRPr="00C24766">
        <w:rPr>
          <w:szCs w:val="20"/>
        </w:rPr>
        <w:t xml:space="preserve"> </w:t>
      </w:r>
      <w:r w:rsidRPr="00C24766">
        <w:rPr>
          <w:caps/>
          <w:szCs w:val="20"/>
        </w:rPr>
        <w:t xml:space="preserve">Tenn. </w:t>
      </w:r>
      <w:proofErr w:type="gramStart"/>
      <w:r w:rsidRPr="00C24766">
        <w:rPr>
          <w:caps/>
          <w:szCs w:val="20"/>
        </w:rPr>
        <w:t xml:space="preserve">Const. </w:t>
      </w:r>
      <w:r w:rsidRPr="00C24766">
        <w:rPr>
          <w:szCs w:val="20"/>
        </w:rPr>
        <w:t>of 1796, art.</w:t>
      </w:r>
      <w:proofErr w:type="gramEnd"/>
      <w:r w:rsidRPr="00C24766">
        <w:rPr>
          <w:szCs w:val="20"/>
        </w:rPr>
        <w:t xml:space="preserve"> </w:t>
      </w:r>
      <w:proofErr w:type="gramStart"/>
      <w:r w:rsidRPr="00C24766">
        <w:rPr>
          <w:szCs w:val="20"/>
        </w:rPr>
        <w:t>XI, § 26.</w:t>
      </w:r>
      <w:proofErr w:type="gramEnd"/>
      <w:r w:rsidRPr="00C24766">
        <w:rPr>
          <w:szCs w:val="20"/>
        </w:rPr>
        <w:t xml:space="preserve"> (In 1836, “freemen” was changed to “free white citizens,” thereby preventing the assertion of the right to arms by free blacks. The North Carolina Supreme Court was forced to confront this issue in 1843.) </w:t>
      </w:r>
      <w:proofErr w:type="gramStart"/>
      <w:r w:rsidRPr="00C24766">
        <w:rPr>
          <w:i/>
          <w:szCs w:val="20"/>
        </w:rPr>
        <w:t>See</w:t>
      </w:r>
      <w:r w:rsidRPr="00C24766">
        <w:rPr>
          <w:szCs w:val="20"/>
        </w:rPr>
        <w:t xml:space="preserve"> </w:t>
      </w:r>
      <w:hyperlink r:id="rId80" w:history="1">
        <w:r w:rsidRPr="00C24766">
          <w:rPr>
            <w:rStyle w:val="Hyperlink"/>
            <w:szCs w:val="20"/>
          </w:rPr>
          <w:t>State</w:t>
        </w:r>
      </w:hyperlink>
      <w:hyperlink r:id="rId81" w:history="1">
        <w:r w:rsidRPr="00C24766">
          <w:rPr>
            <w:rStyle w:val="Hyperlink"/>
            <w:szCs w:val="20"/>
          </w:rPr>
          <w:t xml:space="preserve"> v. Huntley</w:t>
        </w:r>
      </w:hyperlink>
      <w:r w:rsidRPr="00C24766">
        <w:rPr>
          <w:szCs w:val="20"/>
        </w:rPr>
        <w:t>, 25 N.C. 418 (1843).</w:t>
      </w:r>
      <w:proofErr w:type="gramEnd"/>
    </w:p>
  </w:endnote>
  <w:endnote w:id="13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[139]</w:t>
      </w:r>
      <w:r w:rsidRPr="00C24766">
        <w:rPr>
          <w:szCs w:val="20"/>
        </w:rPr>
        <w:t xml:space="preserve"> </w:t>
      </w:r>
      <w:r w:rsidRPr="00C24766">
        <w:rPr>
          <w:caps/>
          <w:szCs w:val="20"/>
        </w:rPr>
        <w:t xml:space="preserve">Tenn.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26.</w:t>
      </w:r>
      <w:proofErr w:type="gramEnd"/>
      <w:r w:rsidRPr="00C24766">
        <w:rPr>
          <w:szCs w:val="20"/>
        </w:rPr>
        <w:t xml:space="preserve"> </w:t>
      </w:r>
    </w:p>
  </w:endnote>
  <w:endnote w:id="14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[140]</w:t>
      </w:r>
      <w:r w:rsidRPr="00C24766">
        <w:rPr>
          <w:szCs w:val="20"/>
        </w:rPr>
        <w:t xml:space="preserve"> </w:t>
      </w:r>
      <w:hyperlink r:id="rId82" w:history="1">
        <w:proofErr w:type="spellStart"/>
        <w:proofErr w:type="gramStart"/>
        <w:r w:rsidRPr="00C24766">
          <w:rPr>
            <w:rStyle w:val="Hyperlink"/>
            <w:szCs w:val="20"/>
          </w:rPr>
          <w:t>Aymette</w:t>
        </w:r>
        <w:proofErr w:type="spellEnd"/>
        <w:r w:rsidRPr="00C24766">
          <w:rPr>
            <w:rStyle w:val="Hyperlink"/>
            <w:szCs w:val="20"/>
          </w:rPr>
          <w:t xml:space="preserve"> v. State</w:t>
        </w:r>
      </w:hyperlink>
      <w:r w:rsidRPr="00C24766">
        <w:rPr>
          <w:szCs w:val="20"/>
        </w:rPr>
        <w:t>, 21 Tenn. (2 Hum.) 154, 157 (1840).</w:t>
      </w:r>
      <w:proofErr w:type="gramEnd"/>
    </w:p>
  </w:endnote>
  <w:endnote w:id="14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[141]</w:t>
      </w:r>
      <w:r w:rsidRPr="00C24766">
        <w:rPr>
          <w:szCs w:val="20"/>
        </w:rPr>
        <w:t xml:space="preserve"> </w:t>
      </w:r>
      <w:r w:rsidRPr="00C24766">
        <w:rPr>
          <w:i/>
          <w:szCs w:val="20"/>
        </w:rPr>
        <w:t xml:space="preserve">See id. </w:t>
      </w:r>
      <w:proofErr w:type="gramStart"/>
      <w:r w:rsidRPr="00C24766">
        <w:rPr>
          <w:szCs w:val="20"/>
        </w:rPr>
        <w:t>at</w:t>
      </w:r>
      <w:proofErr w:type="gramEnd"/>
      <w:r w:rsidRPr="00C24766">
        <w:rPr>
          <w:szCs w:val="20"/>
        </w:rPr>
        <w:t xml:space="preserve"> 158.</w:t>
      </w:r>
    </w:p>
  </w:endnote>
  <w:endnote w:id="14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[142]</w:t>
      </w:r>
      <w:r w:rsidRPr="00C24766">
        <w:rPr>
          <w:szCs w:val="20"/>
        </w:rPr>
        <w:t xml:space="preserve"> </w:t>
      </w:r>
      <w:proofErr w:type="gramStart"/>
      <w:r w:rsidRPr="00C24766">
        <w:rPr>
          <w:i/>
          <w:szCs w:val="20"/>
        </w:rPr>
        <w:t>Id.</w:t>
      </w:r>
      <w:r w:rsidRPr="00C24766">
        <w:rPr>
          <w:szCs w:val="20"/>
        </w:rPr>
        <w:t xml:space="preserve"> at 160.</w:t>
      </w:r>
      <w:proofErr w:type="gramEnd"/>
    </w:p>
  </w:endnote>
  <w:endnote w:id="14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[143]</w:t>
      </w:r>
      <w:r w:rsidRPr="00C24766">
        <w:rPr>
          <w:szCs w:val="20"/>
        </w:rPr>
        <w:t xml:space="preserve"> </w:t>
      </w:r>
      <w:r w:rsidRPr="00C24766">
        <w:rPr>
          <w:i/>
          <w:szCs w:val="20"/>
        </w:rPr>
        <w:t xml:space="preserve">See </w:t>
      </w:r>
      <w:hyperlink r:id="rId83" w:history="1">
        <w:r w:rsidRPr="00C24766">
          <w:rPr>
            <w:rStyle w:val="Hyperlink"/>
            <w:szCs w:val="20"/>
          </w:rPr>
          <w:t xml:space="preserve">Smith v. </w:t>
        </w:r>
        <w:proofErr w:type="spellStart"/>
        <w:r w:rsidRPr="00C24766">
          <w:rPr>
            <w:rStyle w:val="Hyperlink"/>
            <w:szCs w:val="20"/>
          </w:rPr>
          <w:t>Ishenhour</w:t>
        </w:r>
        <w:proofErr w:type="spellEnd"/>
      </w:hyperlink>
      <w:r w:rsidRPr="00C24766">
        <w:rPr>
          <w:szCs w:val="20"/>
        </w:rPr>
        <w:t>, 43 Tenn. (3 Cold.) 214 (1866).</w:t>
      </w:r>
    </w:p>
  </w:endnote>
  <w:endnote w:id="14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[144]</w:t>
      </w:r>
      <w:r w:rsidRPr="00C24766">
        <w:rPr>
          <w:szCs w:val="20"/>
        </w:rPr>
        <w:t xml:space="preserve"> </w:t>
      </w:r>
      <w:proofErr w:type="gramStart"/>
      <w:r w:rsidRPr="00C24766">
        <w:rPr>
          <w:szCs w:val="20"/>
        </w:rPr>
        <w:t xml:space="preserve">50 Tenn. (3 </w:t>
      </w:r>
      <w:proofErr w:type="spellStart"/>
      <w:r w:rsidRPr="00C24766">
        <w:rPr>
          <w:szCs w:val="20"/>
        </w:rPr>
        <w:t>Heisk</w:t>
      </w:r>
      <w:proofErr w:type="spellEnd"/>
      <w:r w:rsidRPr="00C24766">
        <w:rPr>
          <w:szCs w:val="20"/>
        </w:rPr>
        <w:t>.) 165 (1871).</w:t>
      </w:r>
      <w:proofErr w:type="gramEnd"/>
    </w:p>
  </w:endnote>
  <w:endnote w:id="14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[145]</w:t>
      </w:r>
      <w:r w:rsidRPr="00C24766">
        <w:rPr>
          <w:szCs w:val="20"/>
        </w:rPr>
        <w:t xml:space="preserve"> </w:t>
      </w:r>
      <w:proofErr w:type="gramStart"/>
      <w:r w:rsidRPr="00C24766">
        <w:rPr>
          <w:i/>
          <w:szCs w:val="20"/>
        </w:rPr>
        <w:t>Id.</w:t>
      </w:r>
      <w:r w:rsidRPr="00C24766">
        <w:rPr>
          <w:szCs w:val="20"/>
        </w:rPr>
        <w:t xml:space="preserve"> at 177.</w:t>
      </w:r>
      <w:proofErr w:type="gramEnd"/>
    </w:p>
  </w:endnote>
  <w:endnote w:id="14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[146]</w:t>
      </w:r>
      <w:r w:rsidRPr="00C24766">
        <w:rPr>
          <w:szCs w:val="20"/>
        </w:rPr>
        <w:t xml:space="preserve"> </w:t>
      </w:r>
      <w:r w:rsidRPr="00C24766">
        <w:rPr>
          <w:i/>
          <w:szCs w:val="20"/>
        </w:rPr>
        <w:t>I.e</w:t>
      </w:r>
      <w:r w:rsidRPr="00C24766">
        <w:rPr>
          <w:szCs w:val="20"/>
        </w:rPr>
        <w:t xml:space="preserve">., as someone who may be called upon to participate in the common </w:t>
      </w:r>
      <w:proofErr w:type="gramStart"/>
      <w:r w:rsidRPr="00C24766">
        <w:rPr>
          <w:szCs w:val="20"/>
        </w:rPr>
        <w:t>defense.</w:t>
      </w:r>
      <w:proofErr w:type="gramEnd"/>
    </w:p>
  </w:endnote>
  <w:endnote w:id="14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[147]</w:t>
      </w:r>
      <w:proofErr w:type="gramStart"/>
      <w:r w:rsidRPr="00C24766">
        <w:rPr>
          <w:szCs w:val="20"/>
        </w:rPr>
        <w:t xml:space="preserve">50 Tenn. (3 </w:t>
      </w:r>
      <w:proofErr w:type="spellStart"/>
      <w:r w:rsidRPr="00C24766">
        <w:rPr>
          <w:szCs w:val="20"/>
        </w:rPr>
        <w:t>Heisk</w:t>
      </w:r>
      <w:proofErr w:type="spellEnd"/>
      <w:r w:rsidRPr="00C24766">
        <w:rPr>
          <w:szCs w:val="20"/>
        </w:rPr>
        <w:t>.) at 178-79.</w:t>
      </w:r>
      <w:proofErr w:type="gramEnd"/>
    </w:p>
  </w:endnote>
  <w:endnote w:id="14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[148]</w:t>
      </w:r>
      <w:r w:rsidRPr="00C24766">
        <w:rPr>
          <w:szCs w:val="20"/>
        </w:rPr>
        <w:t xml:space="preserve"> </w:t>
      </w:r>
      <w:proofErr w:type="gramStart"/>
      <w:r w:rsidRPr="00C24766">
        <w:rPr>
          <w:i/>
          <w:szCs w:val="20"/>
        </w:rPr>
        <w:t xml:space="preserve">Id. </w:t>
      </w:r>
      <w:r w:rsidRPr="00C24766">
        <w:rPr>
          <w:szCs w:val="20"/>
        </w:rPr>
        <w:t>at 162.</w:t>
      </w:r>
      <w:proofErr w:type="gramEnd"/>
    </w:p>
  </w:endnote>
  <w:endnote w:id="14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[149]</w:t>
      </w:r>
      <w:proofErr w:type="gramStart"/>
      <w:r w:rsidRPr="00C24766">
        <w:rPr>
          <w:i/>
          <w:szCs w:val="20"/>
        </w:rPr>
        <w:t xml:space="preserve">Id. </w:t>
      </w:r>
      <w:r w:rsidRPr="00C24766">
        <w:rPr>
          <w:szCs w:val="20"/>
        </w:rPr>
        <w:t>at 182 (emphasis in original).</w:t>
      </w:r>
      <w:proofErr w:type="gramEnd"/>
      <w:r w:rsidRPr="00C24766">
        <w:rPr>
          <w:szCs w:val="20"/>
        </w:rPr>
        <w:t xml:space="preserve"> </w:t>
      </w:r>
    </w:p>
  </w:endnote>
  <w:endnote w:id="15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[150]</w:t>
      </w:r>
      <w:r w:rsidRPr="00C24766">
        <w:rPr>
          <w:szCs w:val="20"/>
        </w:rPr>
        <w:t xml:space="preserve"> For post-Andrews jurisprudence, </w:t>
      </w:r>
      <w:r w:rsidRPr="00C24766">
        <w:rPr>
          <w:i/>
          <w:szCs w:val="20"/>
        </w:rPr>
        <w:t>see</w:t>
      </w:r>
      <w:r w:rsidRPr="00C24766">
        <w:rPr>
          <w:szCs w:val="20"/>
        </w:rPr>
        <w:t xml:space="preserve">, </w:t>
      </w:r>
      <w:r w:rsidRPr="00C24766">
        <w:rPr>
          <w:i/>
          <w:szCs w:val="20"/>
        </w:rPr>
        <w:t>e.g.</w:t>
      </w:r>
      <w:r w:rsidRPr="00C24766">
        <w:rPr>
          <w:szCs w:val="20"/>
        </w:rPr>
        <w:t xml:space="preserve">, Glasscock v. (Tenn. 1928) (holding an ordinance unconstitutional that made carrying a pistol a misdemeanor on the basis it violated the citizens’ right to keep and bear arms); </w:t>
      </w:r>
      <w:hyperlink r:id="rId84" w:history="1">
        <w:r w:rsidRPr="00C24766">
          <w:rPr>
            <w:rStyle w:val="Hyperlink"/>
            <w:caps/>
            <w:szCs w:val="20"/>
          </w:rPr>
          <w:t>S</w:t>
        </w:r>
        <w:r w:rsidRPr="00C24766">
          <w:rPr>
            <w:rStyle w:val="Hyperlink"/>
            <w:szCs w:val="20"/>
          </w:rPr>
          <w:t xml:space="preserve">tate v. </w:t>
        </w:r>
        <w:proofErr w:type="spellStart"/>
        <w:r w:rsidRPr="00C24766">
          <w:rPr>
            <w:rStyle w:val="Hyperlink"/>
            <w:szCs w:val="20"/>
          </w:rPr>
          <w:t>Foutch</w:t>
        </w:r>
        <w:proofErr w:type="spellEnd"/>
      </w:hyperlink>
      <w:r w:rsidRPr="00C24766">
        <w:rPr>
          <w:szCs w:val="20"/>
        </w:rPr>
        <w:t>, 34 S.W.1, 6 (Tenn. 1896) (holding the prosecution of a man who shot a home invader was unconstitutional, the court said, “Under our constitution every citizen of the State has the right to keep and bear arms for his proper defense and the Legislature only has power by law to regulate the wearing of arms to prevent crime”).</w:t>
      </w:r>
    </w:p>
  </w:endnote>
  <w:endnote w:id="15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[151]</w:t>
      </w:r>
      <w:r w:rsidRPr="00C24766">
        <w:rPr>
          <w:szCs w:val="20"/>
        </w:rPr>
        <w:t xml:space="preserve"> </w:t>
      </w:r>
      <w:r w:rsidRPr="00C24766">
        <w:rPr>
          <w:caps/>
          <w:szCs w:val="20"/>
        </w:rPr>
        <w:t xml:space="preserve">Tex.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 § 23.</w:t>
      </w:r>
      <w:proofErr w:type="gramEnd"/>
      <w:r w:rsidRPr="00C24766">
        <w:rPr>
          <w:szCs w:val="20"/>
        </w:rPr>
        <w:t xml:space="preserve">  Earlier provisions of the right provided:  “Every citizen shall have the right to bear arms in </w:t>
      </w:r>
      <w:proofErr w:type="spellStart"/>
      <w:r w:rsidRPr="00C24766">
        <w:rPr>
          <w:szCs w:val="20"/>
        </w:rPr>
        <w:t>defence</w:t>
      </w:r>
      <w:proofErr w:type="spellEnd"/>
      <w:r w:rsidRPr="00C24766">
        <w:rPr>
          <w:szCs w:val="20"/>
        </w:rPr>
        <w:t xml:space="preserve"> of </w:t>
      </w:r>
      <w:proofErr w:type="gramStart"/>
      <w:r w:rsidRPr="00C24766">
        <w:rPr>
          <w:szCs w:val="20"/>
        </w:rPr>
        <w:t>himself</w:t>
      </w:r>
      <w:proofErr w:type="gramEnd"/>
      <w:r w:rsidRPr="00C24766">
        <w:rPr>
          <w:szCs w:val="20"/>
        </w:rPr>
        <w:t xml:space="preserve"> and the republic.  The military shall at all times and in all cases be subordinate to the civil power.”  </w:t>
      </w:r>
      <w:r w:rsidRPr="00C24766">
        <w:rPr>
          <w:caps/>
          <w:szCs w:val="20"/>
        </w:rPr>
        <w:t xml:space="preserve">Tex. Const. </w:t>
      </w:r>
      <w:r w:rsidRPr="00C24766">
        <w:rPr>
          <w:szCs w:val="20"/>
        </w:rPr>
        <w:t>of</w:t>
      </w:r>
      <w:r w:rsidRPr="00C24766">
        <w:rPr>
          <w:caps/>
          <w:szCs w:val="20"/>
        </w:rPr>
        <w:t xml:space="preserve"> 1836, </w:t>
      </w:r>
      <w:r w:rsidRPr="00C24766">
        <w:rPr>
          <w:szCs w:val="20"/>
        </w:rPr>
        <w:t xml:space="preserve">Declaration of Rights, cl. 14.  “Every citizen shall have the right to keep and bear arms in lawful </w:t>
      </w:r>
      <w:proofErr w:type="spellStart"/>
      <w:r w:rsidRPr="00C24766">
        <w:rPr>
          <w:szCs w:val="20"/>
        </w:rPr>
        <w:t>defence</w:t>
      </w:r>
      <w:proofErr w:type="spellEnd"/>
      <w:r w:rsidRPr="00C24766">
        <w:rPr>
          <w:szCs w:val="20"/>
        </w:rPr>
        <w:t xml:space="preserve"> of himself or the State.”  </w:t>
      </w:r>
      <w:r w:rsidRPr="00C24766">
        <w:rPr>
          <w:caps/>
          <w:szCs w:val="20"/>
        </w:rPr>
        <w:t xml:space="preserve">Tex. </w:t>
      </w:r>
      <w:proofErr w:type="gramStart"/>
      <w:r w:rsidRPr="00C24766">
        <w:rPr>
          <w:caps/>
          <w:szCs w:val="20"/>
        </w:rPr>
        <w:t xml:space="preserve">Const. </w:t>
      </w:r>
      <w:r w:rsidRPr="00C24766">
        <w:rPr>
          <w:szCs w:val="20"/>
        </w:rPr>
        <w:t>of 1845, art.</w:t>
      </w:r>
      <w:proofErr w:type="gramEnd"/>
      <w:r w:rsidRPr="00C24766">
        <w:rPr>
          <w:szCs w:val="20"/>
        </w:rPr>
        <w:t xml:space="preserve"> </w:t>
      </w:r>
      <w:proofErr w:type="gramStart"/>
      <w:r w:rsidRPr="00C24766">
        <w:rPr>
          <w:szCs w:val="20"/>
        </w:rPr>
        <w:t>I, § 13.</w:t>
      </w:r>
      <w:proofErr w:type="gramEnd"/>
      <w:r w:rsidRPr="00C24766">
        <w:rPr>
          <w:szCs w:val="20"/>
        </w:rPr>
        <w:t xml:space="preserve">  For an interpretation, </w:t>
      </w:r>
      <w:r w:rsidRPr="00C24766">
        <w:rPr>
          <w:iCs/>
          <w:szCs w:val="20"/>
        </w:rPr>
        <w:t>see</w:t>
      </w:r>
      <w:r w:rsidRPr="00C24766">
        <w:rPr>
          <w:i/>
          <w:szCs w:val="20"/>
        </w:rPr>
        <w:t xml:space="preserve"> </w:t>
      </w:r>
      <w:hyperlink r:id="rId85" w:history="1">
        <w:proofErr w:type="spellStart"/>
        <w:r w:rsidRPr="00C24766">
          <w:rPr>
            <w:rStyle w:val="Hyperlink"/>
            <w:szCs w:val="20"/>
          </w:rPr>
          <w:t>Cockrum</w:t>
        </w:r>
        <w:proofErr w:type="spellEnd"/>
        <w:r w:rsidRPr="00C24766">
          <w:rPr>
            <w:rStyle w:val="Hyperlink"/>
            <w:szCs w:val="20"/>
          </w:rPr>
          <w:t xml:space="preserve"> v. State</w:t>
        </w:r>
      </w:hyperlink>
      <w:r w:rsidRPr="00C24766">
        <w:rPr>
          <w:szCs w:val="20"/>
        </w:rPr>
        <w:t xml:space="preserve">, 24 Tex. 394 (1859) (interpreting this provision as an individual right in a case upholding additional punishment for use of a knife in a homicide). “Every person shall have the right to keep and bear arms in the lawful </w:t>
      </w:r>
      <w:proofErr w:type="spellStart"/>
      <w:r w:rsidRPr="00C24766">
        <w:rPr>
          <w:szCs w:val="20"/>
        </w:rPr>
        <w:t>defence</w:t>
      </w:r>
      <w:proofErr w:type="spellEnd"/>
      <w:r w:rsidRPr="00C24766">
        <w:rPr>
          <w:szCs w:val="20"/>
        </w:rPr>
        <w:t xml:space="preserve"> of </w:t>
      </w:r>
      <w:proofErr w:type="gramStart"/>
      <w:r w:rsidRPr="00C24766">
        <w:rPr>
          <w:szCs w:val="20"/>
        </w:rPr>
        <w:t>himself</w:t>
      </w:r>
      <w:proofErr w:type="gramEnd"/>
      <w:r w:rsidRPr="00C24766">
        <w:rPr>
          <w:szCs w:val="20"/>
        </w:rPr>
        <w:t xml:space="preserve"> or the State, under such regulations as the legislature may prescribe.”  </w:t>
      </w:r>
      <w:r w:rsidRPr="00C24766">
        <w:rPr>
          <w:caps/>
          <w:szCs w:val="20"/>
        </w:rPr>
        <w:t xml:space="preserve">Tex. </w:t>
      </w:r>
      <w:proofErr w:type="gramStart"/>
      <w:r w:rsidRPr="00C24766">
        <w:rPr>
          <w:caps/>
          <w:szCs w:val="20"/>
        </w:rPr>
        <w:t xml:space="preserve">Const. </w:t>
      </w:r>
      <w:r w:rsidRPr="00C24766">
        <w:rPr>
          <w:szCs w:val="20"/>
        </w:rPr>
        <w:t>of 1868, art.</w:t>
      </w:r>
      <w:proofErr w:type="gramEnd"/>
      <w:r w:rsidRPr="00C24766">
        <w:rPr>
          <w:szCs w:val="20"/>
        </w:rPr>
        <w:t xml:space="preserve"> </w:t>
      </w:r>
      <w:proofErr w:type="gramStart"/>
      <w:r w:rsidRPr="00C24766">
        <w:rPr>
          <w:szCs w:val="20"/>
        </w:rPr>
        <w:t>I, § 13.</w:t>
      </w:r>
      <w:proofErr w:type="gramEnd"/>
      <w:r w:rsidRPr="00C24766">
        <w:rPr>
          <w:szCs w:val="20"/>
        </w:rPr>
        <w:t xml:space="preserve"> For an interpretation, </w:t>
      </w:r>
      <w:r w:rsidRPr="00C24766">
        <w:rPr>
          <w:iCs/>
          <w:szCs w:val="20"/>
        </w:rPr>
        <w:t>see</w:t>
      </w:r>
      <w:r w:rsidRPr="00C24766">
        <w:rPr>
          <w:i/>
          <w:szCs w:val="20"/>
        </w:rPr>
        <w:t xml:space="preserve"> </w:t>
      </w:r>
      <w:hyperlink r:id="rId86" w:history="1">
        <w:r w:rsidRPr="00C24766">
          <w:rPr>
            <w:rStyle w:val="Hyperlink"/>
            <w:szCs w:val="20"/>
          </w:rPr>
          <w:t>English v. State</w:t>
        </w:r>
      </w:hyperlink>
      <w:r w:rsidRPr="00C24766">
        <w:rPr>
          <w:szCs w:val="20"/>
        </w:rPr>
        <w:t>, 35 Tex. 473 (1872) (interpreting this provision as an individual right, but not as encompassing dirks and bowie knives).</w:t>
      </w:r>
    </w:p>
  </w:endnote>
  <w:endnote w:id="15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[152]</w:t>
      </w:r>
      <w:r w:rsidRPr="00C24766">
        <w:rPr>
          <w:szCs w:val="20"/>
        </w:rPr>
        <w:t xml:space="preserve"> </w:t>
      </w:r>
      <w:proofErr w:type="gramStart"/>
      <w:r w:rsidRPr="00C24766">
        <w:rPr>
          <w:szCs w:val="20"/>
        </w:rPr>
        <w:t>5 Tex. App. 298 (1878).</w:t>
      </w:r>
      <w:proofErr w:type="gramEnd"/>
    </w:p>
  </w:endnote>
  <w:endnote w:id="153">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[153]</w:t>
      </w:r>
      <w:r w:rsidRPr="00C24766">
        <w:rPr>
          <w:szCs w:val="20"/>
        </w:rPr>
        <w:t xml:space="preserve"> </w:t>
      </w:r>
      <w:proofErr w:type="gramStart"/>
      <w:r w:rsidRPr="00C24766">
        <w:rPr>
          <w:caps/>
          <w:szCs w:val="20"/>
        </w:rPr>
        <w:t xml:space="preserve">Utah Const. </w:t>
      </w:r>
      <w:r w:rsidRPr="00C24766">
        <w:rPr>
          <w:szCs w:val="20"/>
        </w:rPr>
        <w:t>of 1896, art.</w:t>
      </w:r>
      <w:proofErr w:type="gramEnd"/>
      <w:r w:rsidRPr="00C24766">
        <w:rPr>
          <w:szCs w:val="20"/>
        </w:rPr>
        <w:t xml:space="preserve"> </w:t>
      </w:r>
      <w:proofErr w:type="gramStart"/>
      <w:r w:rsidRPr="00C24766">
        <w:rPr>
          <w:szCs w:val="20"/>
        </w:rPr>
        <w:t>1, § 6.</w:t>
      </w:r>
      <w:proofErr w:type="gramEnd"/>
    </w:p>
  </w:endnote>
  <w:endnote w:id="15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[154]</w:t>
      </w:r>
      <w:r w:rsidRPr="00C24766">
        <w:rPr>
          <w:szCs w:val="20"/>
        </w:rPr>
        <w:t xml:space="preserve"> </w:t>
      </w:r>
      <w:r w:rsidRPr="00C24766">
        <w:rPr>
          <w:i/>
          <w:szCs w:val="20"/>
        </w:rPr>
        <w:t xml:space="preserve">See </w:t>
      </w:r>
      <w:r w:rsidRPr="00C24766">
        <w:rPr>
          <w:szCs w:val="20"/>
        </w:rPr>
        <w:t xml:space="preserve">Eugene </w:t>
      </w:r>
      <w:proofErr w:type="spellStart"/>
      <w:r w:rsidRPr="00C24766">
        <w:rPr>
          <w:szCs w:val="20"/>
        </w:rPr>
        <w:t>Volokh</w:t>
      </w:r>
      <w:proofErr w:type="spellEnd"/>
      <w:r w:rsidRPr="00C24766">
        <w:rPr>
          <w:szCs w:val="20"/>
        </w:rPr>
        <w:t xml:space="preserve">, </w:t>
      </w:r>
      <w:r w:rsidRPr="00C24766">
        <w:rPr>
          <w:i/>
          <w:szCs w:val="20"/>
        </w:rPr>
        <w:t>State Constitutional Right to Keep and Bear Arms Provisions</w:t>
      </w:r>
      <w:r w:rsidRPr="00C24766">
        <w:rPr>
          <w:szCs w:val="20"/>
        </w:rPr>
        <w:t xml:space="preserve"> (visited Feb. 20, 2002) &lt;</w:t>
      </w:r>
      <w:hyperlink r:id="rId87" w:history="1">
        <w:r w:rsidRPr="00C24766">
          <w:rPr>
            <w:rStyle w:val="Hyperlink"/>
            <w:szCs w:val="20"/>
          </w:rPr>
          <w:t>http://www.law.ucla.edu/faculty/volokh/beararms/statecon.htm</w:t>
        </w:r>
      </w:hyperlink>
      <w:r w:rsidRPr="00C24766">
        <w:rPr>
          <w:szCs w:val="20"/>
        </w:rPr>
        <w:t>&gt;.</w:t>
      </w:r>
    </w:p>
  </w:endnote>
  <w:endnote w:id="15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[155]</w:t>
      </w:r>
      <w:r w:rsidRPr="00C24766">
        <w:rPr>
          <w:szCs w:val="20"/>
        </w:rPr>
        <w:t xml:space="preserve"> </w:t>
      </w:r>
      <w:proofErr w:type="gramStart"/>
      <w:r w:rsidRPr="00C24766">
        <w:rPr>
          <w:caps/>
          <w:szCs w:val="20"/>
        </w:rPr>
        <w:t xml:space="preserve">Utah Const. </w:t>
      </w:r>
      <w:r w:rsidRPr="00C24766">
        <w:rPr>
          <w:szCs w:val="20"/>
        </w:rPr>
        <w:t>art.</w:t>
      </w:r>
      <w:proofErr w:type="gramEnd"/>
      <w:r w:rsidRPr="00C24766">
        <w:rPr>
          <w:szCs w:val="20"/>
        </w:rPr>
        <w:t xml:space="preserve"> </w:t>
      </w:r>
      <w:proofErr w:type="gramStart"/>
      <w:r w:rsidRPr="00C24766">
        <w:rPr>
          <w:szCs w:val="20"/>
        </w:rPr>
        <w:t>I, § 6.</w:t>
      </w:r>
      <w:proofErr w:type="gramEnd"/>
    </w:p>
  </w:endnote>
  <w:endnote w:id="15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[156]</w:t>
      </w:r>
      <w:r w:rsidRPr="00C24766">
        <w:rPr>
          <w:szCs w:val="20"/>
        </w:rPr>
        <w:t xml:space="preserve"> </w:t>
      </w:r>
      <w:r w:rsidRPr="00C24766">
        <w:rPr>
          <w:caps/>
          <w:szCs w:val="20"/>
        </w:rPr>
        <w:t xml:space="preserve">Va. </w:t>
      </w:r>
      <w:proofErr w:type="gramStart"/>
      <w:r w:rsidRPr="00C24766">
        <w:rPr>
          <w:caps/>
          <w:szCs w:val="20"/>
        </w:rPr>
        <w:t xml:space="preserve">Const. </w:t>
      </w:r>
      <w:r w:rsidRPr="00C24766">
        <w:rPr>
          <w:szCs w:val="20"/>
        </w:rPr>
        <w:t>of 1776.</w:t>
      </w:r>
      <w:proofErr w:type="gramEnd"/>
    </w:p>
  </w:endnote>
  <w:endnote w:id="15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[157]</w:t>
      </w:r>
      <w:r w:rsidRPr="00C24766">
        <w:rPr>
          <w:szCs w:val="20"/>
        </w:rPr>
        <w:t xml:space="preserve"> </w:t>
      </w:r>
      <w:proofErr w:type="gramStart"/>
      <w:r w:rsidRPr="00C24766">
        <w:rPr>
          <w:i/>
          <w:caps/>
          <w:szCs w:val="20"/>
        </w:rPr>
        <w:t>I</w:t>
      </w:r>
      <w:r w:rsidRPr="00C24766">
        <w:rPr>
          <w:i/>
          <w:szCs w:val="20"/>
        </w:rPr>
        <w:t xml:space="preserve">d. </w:t>
      </w:r>
      <w:r w:rsidRPr="00C24766">
        <w:rPr>
          <w:szCs w:val="20"/>
        </w:rPr>
        <w:t>at art.</w:t>
      </w:r>
      <w:proofErr w:type="gramEnd"/>
      <w:r w:rsidRPr="00C24766">
        <w:rPr>
          <w:szCs w:val="20"/>
        </w:rPr>
        <w:t xml:space="preserve"> </w:t>
      </w:r>
      <w:proofErr w:type="gramStart"/>
      <w:r w:rsidRPr="00C24766">
        <w:rPr>
          <w:szCs w:val="20"/>
        </w:rPr>
        <w:t>I, § 13.</w:t>
      </w:r>
      <w:proofErr w:type="gramEnd"/>
    </w:p>
  </w:endnote>
  <w:endnote w:id="15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[158]</w:t>
      </w:r>
      <w:r w:rsidRPr="00C24766">
        <w:rPr>
          <w:szCs w:val="20"/>
        </w:rPr>
        <w:t xml:space="preserve"> </w:t>
      </w:r>
      <w:r w:rsidRPr="00C24766">
        <w:rPr>
          <w:caps/>
          <w:szCs w:val="20"/>
        </w:rPr>
        <w:t xml:space="preserve">Va. </w:t>
      </w:r>
      <w:proofErr w:type="gramStart"/>
      <w:r w:rsidRPr="00C24766">
        <w:rPr>
          <w:caps/>
          <w:szCs w:val="20"/>
        </w:rPr>
        <w:t>Const.</w:t>
      </w:r>
      <w:proofErr w:type="gramEnd"/>
      <w:r w:rsidRPr="00C24766">
        <w:rPr>
          <w:caps/>
          <w:szCs w:val="20"/>
        </w:rPr>
        <w:t xml:space="preserve"> </w:t>
      </w:r>
      <w:r w:rsidRPr="00C24766">
        <w:rPr>
          <w:szCs w:val="20"/>
        </w:rPr>
        <w:t xml:space="preserve"> </w:t>
      </w:r>
      <w:proofErr w:type="gramStart"/>
      <w:r w:rsidRPr="00C24766">
        <w:rPr>
          <w:szCs w:val="20"/>
        </w:rPr>
        <w:t>art</w:t>
      </w:r>
      <w:proofErr w:type="gramEnd"/>
      <w:r w:rsidRPr="00C24766">
        <w:rPr>
          <w:szCs w:val="20"/>
        </w:rPr>
        <w:t xml:space="preserve">. </w:t>
      </w:r>
      <w:proofErr w:type="gramStart"/>
      <w:r w:rsidRPr="00C24766">
        <w:rPr>
          <w:szCs w:val="20"/>
        </w:rPr>
        <w:t>I, § 13.</w:t>
      </w:r>
      <w:proofErr w:type="gramEnd"/>
    </w:p>
  </w:endnote>
  <w:endnote w:id="159">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[159]</w:t>
      </w:r>
      <w:r w:rsidRPr="00C24766">
        <w:rPr>
          <w:szCs w:val="20"/>
        </w:rPr>
        <w:t xml:space="preserve"> </w:t>
      </w:r>
      <w:r w:rsidRPr="00C24766">
        <w:rPr>
          <w:i/>
          <w:szCs w:val="20"/>
        </w:rPr>
        <w:t>Id.</w:t>
      </w:r>
    </w:p>
  </w:endnote>
  <w:endnote w:id="16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[160]</w:t>
      </w:r>
      <w:r w:rsidRPr="00C24766">
        <w:rPr>
          <w:szCs w:val="20"/>
        </w:rPr>
        <w:t xml:space="preserve"> </w:t>
      </w:r>
      <w:r w:rsidRPr="00C24766">
        <w:rPr>
          <w:caps/>
          <w:szCs w:val="20"/>
        </w:rPr>
        <w:t xml:space="preserve">W. Va.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III, § 22.</w:t>
      </w:r>
      <w:proofErr w:type="gramEnd"/>
      <w:r w:rsidRPr="00C24766">
        <w:rPr>
          <w:szCs w:val="20"/>
        </w:rPr>
        <w:t xml:space="preserve">  For an application, </w:t>
      </w:r>
      <w:r w:rsidRPr="00C24766">
        <w:rPr>
          <w:i/>
          <w:szCs w:val="20"/>
        </w:rPr>
        <w:t>see</w:t>
      </w:r>
      <w:r w:rsidRPr="00C24766">
        <w:rPr>
          <w:szCs w:val="20"/>
        </w:rPr>
        <w:t xml:space="preserve"> State ex rel. City of Princeton v. Buckner, 377 S.E.2d 139 (W.Va. 1988) (holding unconstitutional a law banning carrying a concealed weapon and making no provision for obtaining a permit).</w:t>
      </w:r>
    </w:p>
  </w:endnote>
  <w:endnote w:id="161">
    <w:p w:rsidR="00C24766" w:rsidRPr="00C24766" w:rsidRDefault="00C24766" w:rsidP="00C24766">
      <w:pPr>
        <w:pStyle w:val="NormalWeb"/>
        <w:tabs>
          <w:tab w:val="left" w:pos="720"/>
        </w:tabs>
        <w:spacing w:before="0" w:beforeAutospacing="0" w:after="0" w:afterAutospacing="0"/>
      </w:pPr>
      <w:r w:rsidRPr="00C24766">
        <w:rPr>
          <w:rStyle w:val="EndnoteReference"/>
        </w:rPr>
        <w:endnoteRef/>
      </w:r>
      <w:r w:rsidRPr="00C24766">
        <w:rPr>
          <w:rStyle w:val="EndnoteReference"/>
          <w:szCs w:val="20"/>
        </w:rPr>
        <w:t>[161]</w:t>
      </w:r>
      <w:r w:rsidRPr="00C24766">
        <w:rPr>
          <w:caps/>
          <w:szCs w:val="20"/>
        </w:rPr>
        <w:t xml:space="preserve">Wis.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 xml:space="preserve">I, § </w:t>
      </w:r>
      <w:r w:rsidRPr="00C24766">
        <w:t>25.</w:t>
      </w:r>
      <w:proofErr w:type="gramEnd"/>
      <w:r w:rsidRPr="00C24766">
        <w:t xml:space="preserve"> </w:t>
      </w:r>
    </w:p>
  </w:endnote>
  <w:endnote w:id="162">
    <w:p w:rsidR="00C24766" w:rsidRPr="00C24766" w:rsidRDefault="00C24766" w:rsidP="00C24766">
      <w:pPr>
        <w:pStyle w:val="NormalWeb"/>
        <w:spacing w:before="0" w:beforeAutospacing="0" w:after="0" w:afterAutospacing="0"/>
      </w:pPr>
      <w:r w:rsidRPr="00C24766">
        <w:rPr>
          <w:rStyle w:val="EndnoteReference"/>
        </w:rPr>
        <w:endnoteRef/>
      </w:r>
      <w:r w:rsidRPr="00C24766">
        <w:rPr>
          <w:rStyle w:val="EndnoteReference"/>
          <w:szCs w:val="20"/>
        </w:rPr>
        <w:t>[162]</w:t>
      </w:r>
      <w:r w:rsidRPr="00C24766">
        <w:rPr>
          <w:szCs w:val="20"/>
        </w:rPr>
        <w:t xml:space="preserve"> </w:t>
      </w:r>
      <w:r w:rsidRPr="00C24766">
        <w:rPr>
          <w:i/>
          <w:szCs w:val="20"/>
        </w:rPr>
        <w:t xml:space="preserve">See 1998 Election Results </w:t>
      </w:r>
      <w:r w:rsidRPr="00C24766">
        <w:rPr>
          <w:szCs w:val="20"/>
        </w:rPr>
        <w:t>(visited Feb. 21, 2002) &lt;</w:t>
      </w:r>
      <w:hyperlink r:id="rId88" w:history="1">
        <w:r w:rsidRPr="00C24766">
          <w:rPr>
            <w:rStyle w:val="Hyperlink"/>
            <w:szCs w:val="20"/>
          </w:rPr>
          <w:t>http://www.legis.state.wi.us/leginfo/ref_cbc.pdf</w:t>
        </w:r>
      </w:hyperlink>
      <w:r w:rsidRPr="00C24766">
        <w:rPr>
          <w:szCs w:val="20"/>
        </w:rPr>
        <w:t>&gt;.</w:t>
      </w:r>
    </w:p>
  </w:endnote>
  <w:endnote w:id="163">
    <w:p w:rsidR="00C24766" w:rsidRPr="00C24766" w:rsidRDefault="00C24766" w:rsidP="00C24766">
      <w:pPr>
        <w:pStyle w:val="NormalWeb"/>
        <w:spacing w:before="0" w:beforeAutospacing="0" w:after="0" w:afterAutospacing="0"/>
      </w:pPr>
      <w:r w:rsidRPr="00C24766">
        <w:rPr>
          <w:rStyle w:val="EndnoteReference"/>
        </w:rPr>
        <w:endnoteRef/>
      </w:r>
      <w:r w:rsidRPr="00C24766">
        <w:rPr>
          <w:rStyle w:val="EndnoteReference"/>
          <w:szCs w:val="20"/>
        </w:rPr>
        <w:t>[163]</w:t>
      </w:r>
      <w:r w:rsidRPr="00C24766">
        <w:rPr>
          <w:szCs w:val="20"/>
        </w:rPr>
        <w:t xml:space="preserve"> </w:t>
      </w:r>
      <w:r w:rsidRPr="00C24766">
        <w:rPr>
          <w:i/>
          <w:szCs w:val="20"/>
        </w:rPr>
        <w:t>See</w:t>
      </w:r>
      <w:r w:rsidRPr="00C24766">
        <w:rPr>
          <w:szCs w:val="20"/>
        </w:rPr>
        <w:t xml:space="preserve"> David Lamb, </w:t>
      </w:r>
      <w:r w:rsidRPr="00C24766">
        <w:rPr>
          <w:i/>
          <w:szCs w:val="20"/>
        </w:rPr>
        <w:t xml:space="preserve">Anti-Drug Mood in Oregon; Most Abortion Curbs Fail; Five States Pass Lotteries, </w:t>
      </w:r>
      <w:r w:rsidRPr="00C24766">
        <w:rPr>
          <w:caps/>
          <w:szCs w:val="20"/>
        </w:rPr>
        <w:t xml:space="preserve">L.A. Times, </w:t>
      </w:r>
      <w:r w:rsidRPr="00C24766">
        <w:rPr>
          <w:szCs w:val="20"/>
        </w:rPr>
        <w:t>Nov. 6, 1986 at pt.1</w:t>
      </w:r>
      <w:proofErr w:type="gramStart"/>
      <w:r w:rsidRPr="00C24766">
        <w:rPr>
          <w:szCs w:val="20"/>
        </w:rPr>
        <w:t>,  p</w:t>
      </w:r>
      <w:proofErr w:type="gramEnd"/>
      <w:r w:rsidRPr="00C24766">
        <w:rPr>
          <w:szCs w:val="20"/>
        </w:rPr>
        <w:t>. 20.</w:t>
      </w:r>
    </w:p>
  </w:endnote>
  <w:endnote w:id="16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[164]</w:t>
      </w:r>
      <w:r w:rsidRPr="00C24766">
        <w:rPr>
          <w:szCs w:val="20"/>
        </w:rPr>
        <w:t xml:space="preserve"> </w:t>
      </w:r>
      <w:r w:rsidRPr="00C24766">
        <w:rPr>
          <w:i/>
          <w:szCs w:val="20"/>
        </w:rPr>
        <w:t xml:space="preserve">See generally </w:t>
      </w:r>
      <w:r w:rsidRPr="00C24766">
        <w:rPr>
          <w:szCs w:val="20"/>
        </w:rPr>
        <w:t xml:space="preserve">Michael C. </w:t>
      </w:r>
      <w:proofErr w:type="spellStart"/>
      <w:r w:rsidRPr="00C24766">
        <w:rPr>
          <w:szCs w:val="20"/>
        </w:rPr>
        <w:t>Dorf</w:t>
      </w:r>
      <w:proofErr w:type="spellEnd"/>
      <w:r w:rsidRPr="00C24766">
        <w:rPr>
          <w:szCs w:val="20"/>
        </w:rPr>
        <w:t xml:space="preserve">, </w:t>
      </w:r>
      <w:hyperlink r:id="rId89" w:history="1">
        <w:r w:rsidRPr="00C24766">
          <w:rPr>
            <w:rStyle w:val="Hyperlink"/>
            <w:i/>
            <w:szCs w:val="20"/>
          </w:rPr>
          <w:t>What Does the Second Amendment Mean Today?</w:t>
        </w:r>
      </w:hyperlink>
      <w:r w:rsidRPr="00C24766">
        <w:rPr>
          <w:i/>
          <w:szCs w:val="20"/>
        </w:rPr>
        <w:t xml:space="preserve">, </w:t>
      </w:r>
      <w:r w:rsidRPr="00C24766">
        <w:rPr>
          <w:caps/>
          <w:szCs w:val="20"/>
        </w:rPr>
        <w:t>76 Chi.-Kent L. Rev. 291, 338 (2000); D</w:t>
      </w:r>
      <w:r w:rsidRPr="00C24766">
        <w:rPr>
          <w:szCs w:val="20"/>
        </w:rPr>
        <w:t xml:space="preserve">avid C. Williams, </w:t>
      </w:r>
      <w:hyperlink r:id="rId90" w:history="1">
        <w:r w:rsidRPr="00C24766">
          <w:rPr>
            <w:rStyle w:val="Hyperlink"/>
            <w:i/>
            <w:szCs w:val="20"/>
          </w:rPr>
          <w:t>Civic Republicanism and the Citizen Militia: Terrifying Second Amendment</w:t>
        </w:r>
      </w:hyperlink>
      <w:r w:rsidRPr="00C24766">
        <w:rPr>
          <w:szCs w:val="20"/>
        </w:rPr>
        <w:t xml:space="preserve">, 101 </w:t>
      </w:r>
      <w:r w:rsidRPr="00C24766">
        <w:rPr>
          <w:caps/>
          <w:szCs w:val="20"/>
        </w:rPr>
        <w:t>Yale L.J. 551 (1991) (</w:t>
      </w:r>
      <w:r w:rsidRPr="00C24766">
        <w:rPr>
          <w:szCs w:val="20"/>
        </w:rPr>
        <w:t xml:space="preserve">arguing that modern society does not share the founders’ distrust of standing armies, thus what the Second Amendment accomplished in 1789 has now become irrelevant). </w:t>
      </w:r>
    </w:p>
  </w:endnote>
  <w:endnote w:id="165">
    <w:p w:rsidR="00C24766" w:rsidRPr="00C24766" w:rsidRDefault="00C24766" w:rsidP="00C24766">
      <w:pPr>
        <w:pStyle w:val="NormalWeb"/>
        <w:tabs>
          <w:tab w:val="left" w:pos="720"/>
        </w:tabs>
        <w:spacing w:before="0" w:beforeAutospacing="0" w:after="0" w:afterAutospacing="0"/>
        <w:jc w:val="both"/>
      </w:pPr>
      <w:r w:rsidRPr="00C24766">
        <w:rPr>
          <w:rStyle w:val="EndnoteReference"/>
        </w:rPr>
        <w:endnoteRef/>
      </w:r>
      <w:r w:rsidRPr="00C24766">
        <w:rPr>
          <w:rStyle w:val="EndnoteReference"/>
          <w:szCs w:val="20"/>
        </w:rPr>
        <w:t>[165]</w:t>
      </w:r>
      <w:r w:rsidRPr="00C24766">
        <w:rPr>
          <w:caps/>
          <w:szCs w:val="20"/>
        </w:rPr>
        <w:t xml:space="preserve"> Wyo. </w:t>
      </w:r>
      <w:proofErr w:type="gramStart"/>
      <w:r w:rsidRPr="00C24766">
        <w:rPr>
          <w:caps/>
          <w:szCs w:val="20"/>
        </w:rPr>
        <w:t xml:space="preserve">Const. </w:t>
      </w:r>
      <w:r w:rsidRPr="00C24766">
        <w:rPr>
          <w:szCs w:val="20"/>
        </w:rPr>
        <w:t>art.</w:t>
      </w:r>
      <w:proofErr w:type="gramEnd"/>
      <w:r w:rsidRPr="00C24766">
        <w:rPr>
          <w:szCs w:val="20"/>
        </w:rPr>
        <w:t xml:space="preserve"> </w:t>
      </w:r>
      <w:proofErr w:type="gramStart"/>
      <w:r w:rsidRPr="00C24766">
        <w:rPr>
          <w:szCs w:val="20"/>
        </w:rPr>
        <w:t xml:space="preserve">I, § </w:t>
      </w:r>
      <w:r w:rsidRPr="00C24766">
        <w:t>24.</w:t>
      </w:r>
      <w:proofErr w:type="gramEnd"/>
    </w:p>
  </w:endnote>
  <w:endnote w:id="16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[166]</w:t>
      </w:r>
      <w:r w:rsidRPr="00C24766">
        <w:rPr>
          <w:szCs w:val="20"/>
        </w:rPr>
        <w:t xml:space="preserve"> </w:t>
      </w:r>
      <w:r w:rsidRPr="00C24766">
        <w:rPr>
          <w:caps/>
          <w:szCs w:val="20"/>
        </w:rPr>
        <w:t xml:space="preserve">Kan. </w:t>
      </w:r>
      <w:proofErr w:type="gramStart"/>
      <w:r w:rsidRPr="00C24766">
        <w:rPr>
          <w:caps/>
          <w:szCs w:val="20"/>
        </w:rPr>
        <w:t xml:space="preserve">Const. </w:t>
      </w:r>
      <w:r w:rsidRPr="00C24766">
        <w:rPr>
          <w:szCs w:val="20"/>
        </w:rPr>
        <w:t>of 1859, Bill of Rights, § 4.</w:t>
      </w:r>
      <w:proofErr w:type="gramEnd"/>
    </w:p>
  </w:endnote>
  <w:endnote w:id="16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[167]</w:t>
      </w:r>
      <w:r w:rsidRPr="00C24766">
        <w:rPr>
          <w:szCs w:val="20"/>
        </w:rPr>
        <w:t xml:space="preserve"> </w:t>
      </w:r>
      <w:hyperlink r:id="rId91" w:history="1">
        <w:proofErr w:type="gramStart"/>
        <w:r w:rsidRPr="00C24766">
          <w:rPr>
            <w:rStyle w:val="Hyperlink"/>
            <w:szCs w:val="20"/>
          </w:rPr>
          <w:t xml:space="preserve">City of </w:t>
        </w:r>
      </w:hyperlink>
      <w:hyperlink r:id="rId92" w:history="1">
        <w:r w:rsidRPr="00C24766">
          <w:rPr>
            <w:rStyle w:val="Hyperlink"/>
            <w:szCs w:val="20"/>
          </w:rPr>
          <w:t xml:space="preserve">Salina v. </w:t>
        </w:r>
        <w:proofErr w:type="spellStart"/>
        <w:r w:rsidRPr="00C24766">
          <w:rPr>
            <w:rStyle w:val="Hyperlink"/>
            <w:szCs w:val="20"/>
          </w:rPr>
          <w:t>Blaksley</w:t>
        </w:r>
        <w:proofErr w:type="spellEnd"/>
      </w:hyperlink>
      <w:r w:rsidRPr="00C24766">
        <w:rPr>
          <w:szCs w:val="20"/>
        </w:rPr>
        <w:t>, 83 P. 619 (Kan. 1905).</w:t>
      </w:r>
      <w:proofErr w:type="gramEnd"/>
      <w:r w:rsidRPr="00C24766">
        <w:rPr>
          <w:szCs w:val="20"/>
        </w:rPr>
        <w:t xml:space="preserve"> </w:t>
      </w:r>
    </w:p>
  </w:endnote>
  <w:endnote w:id="168">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[168]</w:t>
      </w:r>
      <w:r w:rsidRPr="00C24766">
        <w:rPr>
          <w:szCs w:val="20"/>
        </w:rPr>
        <w:t xml:space="preserve"> </w:t>
      </w:r>
      <w:r w:rsidRPr="00C24766">
        <w:rPr>
          <w:i/>
          <w:szCs w:val="20"/>
        </w:rPr>
        <w:t>Id.</w:t>
      </w:r>
    </w:p>
  </w:endnote>
  <w:endnote w:id="169">
    <w:p w:rsidR="00C24766" w:rsidRPr="00C24766" w:rsidRDefault="00C24766" w:rsidP="00C24766">
      <w:pPr>
        <w:pStyle w:val="NormalWeb"/>
        <w:spacing w:before="0" w:beforeAutospacing="0" w:after="0" w:afterAutospacing="0"/>
        <w:jc w:val="both"/>
        <w:rPr>
          <w:i/>
        </w:rPr>
      </w:pPr>
      <w:r w:rsidRPr="00C24766">
        <w:rPr>
          <w:rStyle w:val="EndnoteReference"/>
        </w:rPr>
        <w:endnoteRef/>
      </w:r>
      <w:r w:rsidRPr="00C24766">
        <w:rPr>
          <w:rStyle w:val="EndnoteReference"/>
          <w:szCs w:val="20"/>
        </w:rPr>
        <w:t>[169]</w:t>
      </w:r>
      <w:r w:rsidRPr="00C24766">
        <w:rPr>
          <w:szCs w:val="20"/>
        </w:rPr>
        <w:t xml:space="preserve"> </w:t>
      </w:r>
      <w:r w:rsidRPr="00C24766">
        <w:rPr>
          <w:i/>
          <w:szCs w:val="20"/>
        </w:rPr>
        <w:t>See generally id.</w:t>
      </w:r>
    </w:p>
  </w:endnote>
  <w:endnote w:id="17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[170]</w:t>
      </w:r>
      <w:r w:rsidRPr="00C24766">
        <w:rPr>
          <w:szCs w:val="20"/>
        </w:rPr>
        <w:t xml:space="preserve"> </w:t>
      </w:r>
      <w:hyperlink r:id="rId93" w:history="1">
        <w:proofErr w:type="gramStart"/>
        <w:r w:rsidRPr="00C24766">
          <w:rPr>
            <w:rStyle w:val="Hyperlink"/>
            <w:szCs w:val="20"/>
          </w:rPr>
          <w:t>State v. Buzzard</w:t>
        </w:r>
      </w:hyperlink>
      <w:r w:rsidRPr="00C24766">
        <w:rPr>
          <w:szCs w:val="20"/>
        </w:rPr>
        <w:t>, 4 Ark. 18 (1840).</w:t>
      </w:r>
      <w:proofErr w:type="gramEnd"/>
    </w:p>
  </w:endnote>
  <w:endnote w:id="17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[171]</w:t>
      </w:r>
      <w:r w:rsidRPr="00C24766">
        <w:rPr>
          <w:szCs w:val="20"/>
        </w:rPr>
        <w:t xml:space="preserve"> </w:t>
      </w:r>
      <w:proofErr w:type="spellStart"/>
      <w:r w:rsidRPr="00C24766">
        <w:rPr>
          <w:szCs w:val="20"/>
        </w:rPr>
        <w:t>Kopel</w:t>
      </w:r>
      <w:proofErr w:type="spellEnd"/>
      <w:r w:rsidRPr="00C24766">
        <w:rPr>
          <w:szCs w:val="20"/>
        </w:rPr>
        <w:t xml:space="preserve">, </w:t>
      </w:r>
      <w:r w:rsidRPr="00C24766">
        <w:rPr>
          <w:i/>
          <w:szCs w:val="20"/>
        </w:rPr>
        <w:t>supra</w:t>
      </w:r>
      <w:r w:rsidRPr="00C24766">
        <w:rPr>
          <w:szCs w:val="20"/>
        </w:rPr>
        <w:t xml:space="preserve"> </w:t>
      </w:r>
      <w:hyperlink r:id="rId94" w:anchor="_ednref86" w:history="1">
        <w:r w:rsidRPr="00C24766">
          <w:rPr>
            <w:rStyle w:val="Hyperlink"/>
            <w:szCs w:val="20"/>
          </w:rPr>
          <w:t>note 86</w:t>
        </w:r>
      </w:hyperlink>
      <w:r w:rsidRPr="00C24766">
        <w:rPr>
          <w:szCs w:val="20"/>
        </w:rPr>
        <w:t>, at 1510-12.</w:t>
      </w:r>
    </w:p>
  </w:endnote>
  <w:endnote w:id="172">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[172]</w:t>
      </w:r>
      <w:r w:rsidRPr="00C24766">
        <w:rPr>
          <w:szCs w:val="20"/>
        </w:rPr>
        <w:t xml:space="preserve"> </w:t>
      </w:r>
      <w:r w:rsidRPr="00C24766">
        <w:rPr>
          <w:i/>
          <w:szCs w:val="20"/>
        </w:rPr>
        <w:t>See generally</w:t>
      </w:r>
      <w:r w:rsidRPr="00C24766">
        <w:rPr>
          <w:szCs w:val="20"/>
        </w:rPr>
        <w:t xml:space="preserve"> Michael </w:t>
      </w:r>
      <w:proofErr w:type="spellStart"/>
      <w:r w:rsidRPr="00C24766">
        <w:rPr>
          <w:szCs w:val="20"/>
        </w:rPr>
        <w:t>Bellesiles</w:t>
      </w:r>
      <w:proofErr w:type="spellEnd"/>
      <w:r w:rsidRPr="00C24766">
        <w:rPr>
          <w:szCs w:val="20"/>
        </w:rPr>
        <w:t xml:space="preserve">, </w:t>
      </w:r>
      <w:r w:rsidRPr="00C24766">
        <w:rPr>
          <w:i/>
          <w:szCs w:val="20"/>
        </w:rPr>
        <w:t xml:space="preserve">The Origins of Gun Culture in the United States, </w:t>
      </w:r>
      <w:proofErr w:type="gramStart"/>
      <w:r w:rsidRPr="00C24766">
        <w:rPr>
          <w:szCs w:val="20"/>
        </w:rPr>
        <w:t>83</w:t>
      </w:r>
      <w:proofErr w:type="gramEnd"/>
      <w:r w:rsidRPr="00C24766">
        <w:rPr>
          <w:szCs w:val="20"/>
        </w:rPr>
        <w:t xml:space="preserve"> </w:t>
      </w:r>
      <w:r w:rsidRPr="00C24766">
        <w:rPr>
          <w:caps/>
          <w:szCs w:val="20"/>
        </w:rPr>
        <w:t xml:space="preserve">J. Am. </w:t>
      </w:r>
      <w:proofErr w:type="gramStart"/>
      <w:r w:rsidRPr="00C24766">
        <w:rPr>
          <w:caps/>
          <w:szCs w:val="20"/>
        </w:rPr>
        <w:t xml:space="preserve">Hist. </w:t>
      </w:r>
      <w:r w:rsidRPr="00C24766">
        <w:rPr>
          <w:szCs w:val="20"/>
        </w:rPr>
        <w:t>425 (1996).</w:t>
      </w:r>
      <w:proofErr w:type="gramEnd"/>
      <w:r w:rsidRPr="00C24766">
        <w:rPr>
          <w:szCs w:val="20"/>
        </w:rPr>
        <w:t xml:space="preserve"> </w:t>
      </w:r>
    </w:p>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[173]</w:t>
      </w:r>
      <w:r w:rsidRPr="00C24766">
        <w:rPr>
          <w:szCs w:val="20"/>
        </w:rPr>
        <w:t xml:space="preserve"> One precedent cited was </w:t>
      </w:r>
      <w:hyperlink r:id="rId95" w:history="1">
        <w:r w:rsidRPr="00C24766">
          <w:rPr>
            <w:rStyle w:val="Hyperlink"/>
            <w:szCs w:val="20"/>
          </w:rPr>
          <w:t>Bliss v. Commonwealth</w:t>
        </w:r>
      </w:hyperlink>
      <w:r w:rsidRPr="00C24766">
        <w:rPr>
          <w:szCs w:val="20"/>
        </w:rPr>
        <w:t xml:space="preserve">, 12 Ky. (2 </w:t>
      </w:r>
      <w:proofErr w:type="spellStart"/>
      <w:r w:rsidRPr="00C24766">
        <w:rPr>
          <w:szCs w:val="20"/>
        </w:rPr>
        <w:t>Litt</w:t>
      </w:r>
      <w:proofErr w:type="spellEnd"/>
      <w:r w:rsidRPr="00C24766">
        <w:rPr>
          <w:szCs w:val="20"/>
        </w:rPr>
        <w:t xml:space="preserve">.) 90 (1822), discussed </w:t>
      </w:r>
      <w:r w:rsidRPr="00C24766">
        <w:rPr>
          <w:i/>
          <w:szCs w:val="20"/>
        </w:rPr>
        <w:t>infra</w:t>
      </w:r>
      <w:r w:rsidRPr="00C24766">
        <w:rPr>
          <w:szCs w:val="20"/>
        </w:rPr>
        <w:t xml:space="preserve"> p. 5.</w:t>
      </w:r>
    </w:p>
  </w:endnote>
  <w:endnote w:id="173">
    <w:p w:rsidR="00C24766" w:rsidRPr="00C24766" w:rsidRDefault="00C24766" w:rsidP="00C24766"/>
  </w:endnote>
  <w:endnote w:id="174">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[174]</w:t>
      </w:r>
      <w:r w:rsidRPr="00C24766">
        <w:rPr>
          <w:szCs w:val="20"/>
        </w:rPr>
        <w:t xml:space="preserve"> </w:t>
      </w:r>
      <w:proofErr w:type="spellStart"/>
      <w:r w:rsidRPr="00C24766">
        <w:rPr>
          <w:szCs w:val="20"/>
        </w:rPr>
        <w:t>Kopel</w:t>
      </w:r>
      <w:proofErr w:type="spellEnd"/>
      <w:r w:rsidRPr="00C24766">
        <w:rPr>
          <w:szCs w:val="20"/>
        </w:rPr>
        <w:t xml:space="preserve">, </w:t>
      </w:r>
      <w:r w:rsidRPr="00C24766">
        <w:rPr>
          <w:i/>
          <w:szCs w:val="20"/>
        </w:rPr>
        <w:t xml:space="preserve">supra </w:t>
      </w:r>
      <w:hyperlink r:id="rId96" w:anchor="_edn86" w:history="1">
        <w:r w:rsidRPr="00C24766">
          <w:rPr>
            <w:rStyle w:val="Hyperlink"/>
            <w:szCs w:val="20"/>
          </w:rPr>
          <w:t>note 86</w:t>
        </w:r>
      </w:hyperlink>
      <w:r w:rsidRPr="00C24766">
        <w:rPr>
          <w:szCs w:val="20"/>
        </w:rPr>
        <w:t>, at 1510-12.</w:t>
      </w:r>
    </w:p>
  </w:endnote>
  <w:endnote w:id="175">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[175]</w:t>
      </w:r>
      <w:r w:rsidRPr="00C24766">
        <w:rPr>
          <w:szCs w:val="20"/>
        </w:rPr>
        <w:t xml:space="preserve"> </w:t>
      </w:r>
      <w:proofErr w:type="gramStart"/>
      <w:r w:rsidRPr="00C24766">
        <w:rPr>
          <w:szCs w:val="20"/>
        </w:rPr>
        <w:t xml:space="preserve">Junction City v. </w:t>
      </w:r>
      <w:proofErr w:type="spellStart"/>
      <w:r w:rsidRPr="00C24766">
        <w:rPr>
          <w:szCs w:val="20"/>
        </w:rPr>
        <w:t>Mevis</w:t>
      </w:r>
      <w:proofErr w:type="spellEnd"/>
      <w:r w:rsidRPr="00C24766">
        <w:rPr>
          <w:szCs w:val="20"/>
        </w:rPr>
        <w:t>, 601 P.2d 1145 (Kan. 1979).</w:t>
      </w:r>
      <w:proofErr w:type="gramEnd"/>
    </w:p>
  </w:endnote>
  <w:endnote w:id="176">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[176]</w:t>
      </w:r>
      <w:r w:rsidRPr="00C24766">
        <w:rPr>
          <w:szCs w:val="20"/>
        </w:rPr>
        <w:t xml:space="preserve"> </w:t>
      </w:r>
      <w:r w:rsidRPr="00C24766">
        <w:rPr>
          <w:caps/>
          <w:szCs w:val="20"/>
        </w:rPr>
        <w:t xml:space="preserve">Mass. </w:t>
      </w:r>
      <w:proofErr w:type="gramStart"/>
      <w:r w:rsidRPr="00C24766">
        <w:rPr>
          <w:caps/>
          <w:szCs w:val="20"/>
        </w:rPr>
        <w:t xml:space="preserve">Const. </w:t>
      </w:r>
      <w:r w:rsidRPr="00C24766">
        <w:rPr>
          <w:szCs w:val="20"/>
        </w:rPr>
        <w:t>pt. 1, art.</w:t>
      </w:r>
      <w:proofErr w:type="gramEnd"/>
      <w:r w:rsidRPr="00C24766">
        <w:rPr>
          <w:szCs w:val="20"/>
        </w:rPr>
        <w:t xml:space="preserve"> 17. </w:t>
      </w:r>
    </w:p>
  </w:endnote>
  <w:endnote w:id="177">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[177]</w:t>
      </w:r>
      <w:r w:rsidRPr="00C24766">
        <w:rPr>
          <w:szCs w:val="20"/>
        </w:rPr>
        <w:t xml:space="preserve"> Commonwealth v. Blanding, 20 Mass. (3 Pick.) 304, 313 (1825) (right to keep arms is an individual right); (ordinary individual may invoke arms right, but right does not include mass armed parades in public).</w:t>
      </w:r>
    </w:p>
  </w:endnote>
  <w:endnote w:id="178">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[178]</w:t>
      </w:r>
      <w:r w:rsidRPr="00C24766">
        <w:rPr>
          <w:szCs w:val="20"/>
        </w:rPr>
        <w:t xml:space="preserve"> </w:t>
      </w:r>
      <w:hyperlink r:id="rId97" w:history="1">
        <w:proofErr w:type="gramStart"/>
        <w:r w:rsidRPr="00C24766">
          <w:rPr>
            <w:rStyle w:val="Hyperlink"/>
            <w:szCs w:val="20"/>
          </w:rPr>
          <w:t xml:space="preserve">Commonwealth v. </w:t>
        </w:r>
      </w:hyperlink>
      <w:hyperlink r:id="rId98" w:history="1">
        <w:r w:rsidRPr="00C24766">
          <w:rPr>
            <w:rStyle w:val="Hyperlink"/>
            <w:szCs w:val="20"/>
          </w:rPr>
          <w:t>Davis</w:t>
        </w:r>
      </w:hyperlink>
      <w:r w:rsidRPr="00C24766">
        <w:rPr>
          <w:szCs w:val="20"/>
        </w:rPr>
        <w:t>, 343 N.E.2d 847 (Mass. 1976).</w:t>
      </w:r>
      <w:proofErr w:type="gramEnd"/>
    </w:p>
  </w:endnote>
  <w:endnote w:id="179">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[179]</w:t>
      </w:r>
      <w:r w:rsidRPr="00C24766">
        <w:rPr>
          <w:szCs w:val="20"/>
        </w:rPr>
        <w:t xml:space="preserve"> This restriction was rejected in U.S. Senate debate on the proposed federal Second Amendment.  </w:t>
      </w:r>
      <w:r w:rsidRPr="00C24766">
        <w:rPr>
          <w:i/>
          <w:szCs w:val="20"/>
        </w:rPr>
        <w:t xml:space="preserve">See </w:t>
      </w:r>
      <w:r w:rsidRPr="00C24766">
        <w:rPr>
          <w:caps/>
          <w:szCs w:val="20"/>
        </w:rPr>
        <w:t>1 Annals of Cong.</w:t>
      </w:r>
      <w:r w:rsidRPr="00C24766">
        <w:rPr>
          <w:szCs w:val="20"/>
        </w:rPr>
        <w:t xml:space="preserve"> 460 (Joseph </w:t>
      </w:r>
      <w:proofErr w:type="gramStart"/>
      <w:r w:rsidRPr="00C24766">
        <w:rPr>
          <w:szCs w:val="20"/>
        </w:rPr>
        <w:t>Gales</w:t>
      </w:r>
      <w:proofErr w:type="gramEnd"/>
      <w:r w:rsidRPr="00C24766">
        <w:rPr>
          <w:szCs w:val="20"/>
        </w:rPr>
        <w:t xml:space="preserve"> ed., 1789).</w:t>
      </w:r>
    </w:p>
  </w:endnote>
  <w:endnote w:id="180">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[180]</w:t>
      </w:r>
      <w:r w:rsidRPr="00C24766">
        <w:rPr>
          <w:szCs w:val="20"/>
        </w:rPr>
        <w:t xml:space="preserve"> </w:t>
      </w:r>
      <w:r w:rsidRPr="00C24766">
        <w:rPr>
          <w:i/>
          <w:szCs w:val="20"/>
        </w:rPr>
        <w:t>See</w:t>
      </w:r>
      <w:r w:rsidRPr="00C24766">
        <w:rPr>
          <w:szCs w:val="20"/>
        </w:rPr>
        <w:t xml:space="preserve"> Davis, </w:t>
      </w:r>
      <w:proofErr w:type="gramStart"/>
      <w:r w:rsidRPr="00C24766">
        <w:rPr>
          <w:szCs w:val="20"/>
        </w:rPr>
        <w:t>343 N.E.2d 847</w:t>
      </w:r>
      <w:proofErr w:type="gramEnd"/>
      <w:r w:rsidRPr="00C24766">
        <w:rPr>
          <w:szCs w:val="20"/>
        </w:rPr>
        <w:t xml:space="preserve"> (Mass. 1976).</w:t>
      </w:r>
    </w:p>
  </w:endnote>
  <w:endnote w:id="181">
    <w:p w:rsidR="00C24766" w:rsidRPr="00C24766" w:rsidRDefault="00C24766" w:rsidP="00C24766">
      <w:pPr>
        <w:pStyle w:val="NormalWeb"/>
        <w:spacing w:before="0" w:beforeAutospacing="0" w:after="0" w:afterAutospacing="0"/>
        <w:jc w:val="both"/>
      </w:pPr>
      <w:r w:rsidRPr="00C24766">
        <w:rPr>
          <w:rStyle w:val="EndnoteReference"/>
        </w:rPr>
        <w:endnoteRef/>
      </w:r>
      <w:r w:rsidRPr="00C24766">
        <w:rPr>
          <w:rStyle w:val="EndnoteReference"/>
          <w:szCs w:val="20"/>
        </w:rPr>
        <w:t>[181]</w:t>
      </w:r>
      <w:r w:rsidRPr="00C24766">
        <w:rPr>
          <w:szCs w:val="20"/>
        </w:rPr>
        <w:t xml:space="preserve"> </w:t>
      </w:r>
      <w:r w:rsidRPr="00C24766">
        <w:rPr>
          <w:i/>
          <w:szCs w:val="20"/>
        </w:rPr>
        <w:t>See</w:t>
      </w:r>
      <w:r w:rsidRPr="00C24766">
        <w:rPr>
          <w:szCs w:val="20"/>
        </w:rPr>
        <w:t xml:space="preserve"> </w:t>
      </w:r>
      <w:hyperlink r:id="rId99" w:history="1">
        <w:r w:rsidRPr="00C24766">
          <w:rPr>
            <w:rStyle w:val="Hyperlink"/>
            <w:szCs w:val="20"/>
          </w:rPr>
          <w:t xml:space="preserve">Salina v. </w:t>
        </w:r>
        <w:proofErr w:type="spellStart"/>
        <w:r w:rsidRPr="00C24766">
          <w:rPr>
            <w:rStyle w:val="Hyperlink"/>
            <w:szCs w:val="20"/>
          </w:rPr>
          <w:t>Blaksley</w:t>
        </w:r>
        <w:proofErr w:type="spellEnd"/>
      </w:hyperlink>
      <w:r w:rsidRPr="00C24766">
        <w:rPr>
          <w:szCs w:val="20"/>
        </w:rPr>
        <w:t>, 83 P. 619 (Kan. 1905).</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03" w:rsidRDefault="00500203" w:rsidP="00C24766">
      <w:r>
        <w:separator/>
      </w:r>
    </w:p>
  </w:footnote>
  <w:footnote w:type="continuationSeparator" w:id="0">
    <w:p w:rsidR="00500203" w:rsidRDefault="00500203" w:rsidP="00C24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8A219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num w:numId="1">
    <w:abstractNumId w:val="0"/>
  </w:num>
  <w:num w:numId="2">
    <w:abstractNumId w:val="1"/>
  </w:num>
  <w:num w:numId="3">
    <w:abstractNumId w:val="1"/>
    <w:lvlOverride w:ilvl="0">
      <w:lvl w:ilvl="0">
        <w:numFmt w:val="bullet"/>
        <w:lvlText w:val=""/>
        <w:legacy w:legacy="1" w:legacySpace="120" w:legacyIndent="360"/>
        <w:lvlJc w:val="left"/>
        <w:pPr>
          <w:ind w:left="144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24766"/>
    <w:rsid w:val="000014E7"/>
    <w:rsid w:val="00001A28"/>
    <w:rsid w:val="000034D1"/>
    <w:rsid w:val="00005063"/>
    <w:rsid w:val="00007C2B"/>
    <w:rsid w:val="00012FDE"/>
    <w:rsid w:val="00013750"/>
    <w:rsid w:val="00016636"/>
    <w:rsid w:val="0001697B"/>
    <w:rsid w:val="00021F44"/>
    <w:rsid w:val="00022C52"/>
    <w:rsid w:val="00033D8D"/>
    <w:rsid w:val="00033E57"/>
    <w:rsid w:val="00033E88"/>
    <w:rsid w:val="000347F8"/>
    <w:rsid w:val="00040F5C"/>
    <w:rsid w:val="00042D3A"/>
    <w:rsid w:val="00044B55"/>
    <w:rsid w:val="00047368"/>
    <w:rsid w:val="000476A0"/>
    <w:rsid w:val="000525B1"/>
    <w:rsid w:val="00052F6E"/>
    <w:rsid w:val="00054D73"/>
    <w:rsid w:val="0005703D"/>
    <w:rsid w:val="000606E6"/>
    <w:rsid w:val="000619E0"/>
    <w:rsid w:val="00064734"/>
    <w:rsid w:val="000677DB"/>
    <w:rsid w:val="00070005"/>
    <w:rsid w:val="00074E29"/>
    <w:rsid w:val="00075221"/>
    <w:rsid w:val="00075345"/>
    <w:rsid w:val="000767DA"/>
    <w:rsid w:val="00077CAB"/>
    <w:rsid w:val="00080541"/>
    <w:rsid w:val="00083725"/>
    <w:rsid w:val="000844CB"/>
    <w:rsid w:val="00084B4E"/>
    <w:rsid w:val="0008669F"/>
    <w:rsid w:val="0009043B"/>
    <w:rsid w:val="0009614C"/>
    <w:rsid w:val="000961C4"/>
    <w:rsid w:val="00096ABC"/>
    <w:rsid w:val="000A003F"/>
    <w:rsid w:val="000A2077"/>
    <w:rsid w:val="000A2C86"/>
    <w:rsid w:val="000A2FCF"/>
    <w:rsid w:val="000A4C31"/>
    <w:rsid w:val="000A4D1A"/>
    <w:rsid w:val="000A6F7F"/>
    <w:rsid w:val="000B2140"/>
    <w:rsid w:val="000B2225"/>
    <w:rsid w:val="000B3D6F"/>
    <w:rsid w:val="000B4A77"/>
    <w:rsid w:val="000B59A0"/>
    <w:rsid w:val="000B7CB6"/>
    <w:rsid w:val="000C117A"/>
    <w:rsid w:val="000C2585"/>
    <w:rsid w:val="000C3D10"/>
    <w:rsid w:val="000C577E"/>
    <w:rsid w:val="000C599A"/>
    <w:rsid w:val="000D1566"/>
    <w:rsid w:val="000D3559"/>
    <w:rsid w:val="000D3A89"/>
    <w:rsid w:val="000D425F"/>
    <w:rsid w:val="000D6579"/>
    <w:rsid w:val="000D78A7"/>
    <w:rsid w:val="000E4CED"/>
    <w:rsid w:val="000E6E25"/>
    <w:rsid w:val="000E715D"/>
    <w:rsid w:val="000E7D0D"/>
    <w:rsid w:val="000F130B"/>
    <w:rsid w:val="000F1A22"/>
    <w:rsid w:val="000F1EA1"/>
    <w:rsid w:val="000F21CC"/>
    <w:rsid w:val="000F24CD"/>
    <w:rsid w:val="000F25D0"/>
    <w:rsid w:val="000F25E3"/>
    <w:rsid w:val="000F2C73"/>
    <w:rsid w:val="000F4347"/>
    <w:rsid w:val="001048DE"/>
    <w:rsid w:val="00104B2E"/>
    <w:rsid w:val="00104F20"/>
    <w:rsid w:val="00107357"/>
    <w:rsid w:val="00113556"/>
    <w:rsid w:val="00113FC2"/>
    <w:rsid w:val="00114E1A"/>
    <w:rsid w:val="00114EF7"/>
    <w:rsid w:val="001243D2"/>
    <w:rsid w:val="00124E52"/>
    <w:rsid w:val="00125D53"/>
    <w:rsid w:val="00127253"/>
    <w:rsid w:val="00127D3A"/>
    <w:rsid w:val="00133054"/>
    <w:rsid w:val="001332C2"/>
    <w:rsid w:val="00135354"/>
    <w:rsid w:val="0014061D"/>
    <w:rsid w:val="00140E38"/>
    <w:rsid w:val="00141674"/>
    <w:rsid w:val="0014312E"/>
    <w:rsid w:val="0014391D"/>
    <w:rsid w:val="00144281"/>
    <w:rsid w:val="00145AF0"/>
    <w:rsid w:val="0015305E"/>
    <w:rsid w:val="001571CA"/>
    <w:rsid w:val="00163143"/>
    <w:rsid w:val="00166B57"/>
    <w:rsid w:val="00167200"/>
    <w:rsid w:val="001718A6"/>
    <w:rsid w:val="00175336"/>
    <w:rsid w:val="00176D52"/>
    <w:rsid w:val="00177C9B"/>
    <w:rsid w:val="0018020A"/>
    <w:rsid w:val="00180E61"/>
    <w:rsid w:val="001824FF"/>
    <w:rsid w:val="00182F0E"/>
    <w:rsid w:val="00185048"/>
    <w:rsid w:val="00185849"/>
    <w:rsid w:val="001878A2"/>
    <w:rsid w:val="001932E8"/>
    <w:rsid w:val="00196DD1"/>
    <w:rsid w:val="001A0AE6"/>
    <w:rsid w:val="001A2CF9"/>
    <w:rsid w:val="001A3EC1"/>
    <w:rsid w:val="001A4810"/>
    <w:rsid w:val="001B0037"/>
    <w:rsid w:val="001B05E0"/>
    <w:rsid w:val="001B1C98"/>
    <w:rsid w:val="001B5473"/>
    <w:rsid w:val="001C5693"/>
    <w:rsid w:val="001C5F09"/>
    <w:rsid w:val="001C68B0"/>
    <w:rsid w:val="001C6DB6"/>
    <w:rsid w:val="001C6F99"/>
    <w:rsid w:val="001D19EE"/>
    <w:rsid w:val="001D3494"/>
    <w:rsid w:val="001D377C"/>
    <w:rsid w:val="001D59F0"/>
    <w:rsid w:val="001D6B0F"/>
    <w:rsid w:val="001E3B37"/>
    <w:rsid w:val="001E60BE"/>
    <w:rsid w:val="001E65EA"/>
    <w:rsid w:val="001F05AA"/>
    <w:rsid w:val="001F6EA6"/>
    <w:rsid w:val="00200EDD"/>
    <w:rsid w:val="00203353"/>
    <w:rsid w:val="00205E9C"/>
    <w:rsid w:val="002066AF"/>
    <w:rsid w:val="00206866"/>
    <w:rsid w:val="00206AA3"/>
    <w:rsid w:val="00207A95"/>
    <w:rsid w:val="00213A38"/>
    <w:rsid w:val="00213D39"/>
    <w:rsid w:val="002233EB"/>
    <w:rsid w:val="00225392"/>
    <w:rsid w:val="00225BC4"/>
    <w:rsid w:val="00226D5A"/>
    <w:rsid w:val="00226EB1"/>
    <w:rsid w:val="002313C2"/>
    <w:rsid w:val="002314FA"/>
    <w:rsid w:val="00231DBA"/>
    <w:rsid w:val="00233324"/>
    <w:rsid w:val="00234818"/>
    <w:rsid w:val="00237548"/>
    <w:rsid w:val="00240762"/>
    <w:rsid w:val="0024450E"/>
    <w:rsid w:val="002456A9"/>
    <w:rsid w:val="00245AA7"/>
    <w:rsid w:val="00245AB8"/>
    <w:rsid w:val="00246E1F"/>
    <w:rsid w:val="002525CC"/>
    <w:rsid w:val="00254BBD"/>
    <w:rsid w:val="002551FD"/>
    <w:rsid w:val="0025732E"/>
    <w:rsid w:val="00262722"/>
    <w:rsid w:val="0026464C"/>
    <w:rsid w:val="0026528A"/>
    <w:rsid w:val="00266BB7"/>
    <w:rsid w:val="00271DE9"/>
    <w:rsid w:val="0027417F"/>
    <w:rsid w:val="00274725"/>
    <w:rsid w:val="00280E48"/>
    <w:rsid w:val="00292FE4"/>
    <w:rsid w:val="0029755D"/>
    <w:rsid w:val="002A41EA"/>
    <w:rsid w:val="002A4A04"/>
    <w:rsid w:val="002A5498"/>
    <w:rsid w:val="002A56EC"/>
    <w:rsid w:val="002A73D9"/>
    <w:rsid w:val="002B3072"/>
    <w:rsid w:val="002B4E89"/>
    <w:rsid w:val="002B5387"/>
    <w:rsid w:val="002B684E"/>
    <w:rsid w:val="002C1533"/>
    <w:rsid w:val="002C597C"/>
    <w:rsid w:val="002D464A"/>
    <w:rsid w:val="002D4F89"/>
    <w:rsid w:val="002D592E"/>
    <w:rsid w:val="002D6309"/>
    <w:rsid w:val="002E4276"/>
    <w:rsid w:val="002E4B15"/>
    <w:rsid w:val="002F1249"/>
    <w:rsid w:val="002F4326"/>
    <w:rsid w:val="002F621C"/>
    <w:rsid w:val="002F662F"/>
    <w:rsid w:val="002F7E39"/>
    <w:rsid w:val="00300576"/>
    <w:rsid w:val="00304258"/>
    <w:rsid w:val="003055B0"/>
    <w:rsid w:val="00310257"/>
    <w:rsid w:val="00310F8C"/>
    <w:rsid w:val="00315FC1"/>
    <w:rsid w:val="00316DDC"/>
    <w:rsid w:val="00317A13"/>
    <w:rsid w:val="00317A37"/>
    <w:rsid w:val="00320003"/>
    <w:rsid w:val="003327F8"/>
    <w:rsid w:val="003344C9"/>
    <w:rsid w:val="00335002"/>
    <w:rsid w:val="00335FF3"/>
    <w:rsid w:val="0034132A"/>
    <w:rsid w:val="003420B0"/>
    <w:rsid w:val="00342109"/>
    <w:rsid w:val="00344386"/>
    <w:rsid w:val="003457F4"/>
    <w:rsid w:val="003462B4"/>
    <w:rsid w:val="00347778"/>
    <w:rsid w:val="00350264"/>
    <w:rsid w:val="0035090C"/>
    <w:rsid w:val="00350AF6"/>
    <w:rsid w:val="003515AD"/>
    <w:rsid w:val="00352141"/>
    <w:rsid w:val="00354505"/>
    <w:rsid w:val="00360592"/>
    <w:rsid w:val="0036413F"/>
    <w:rsid w:val="00366233"/>
    <w:rsid w:val="00367368"/>
    <w:rsid w:val="0037118F"/>
    <w:rsid w:val="0037144E"/>
    <w:rsid w:val="00372094"/>
    <w:rsid w:val="003728EF"/>
    <w:rsid w:val="003758A5"/>
    <w:rsid w:val="00381386"/>
    <w:rsid w:val="00384B69"/>
    <w:rsid w:val="00385BEC"/>
    <w:rsid w:val="003877B8"/>
    <w:rsid w:val="00391096"/>
    <w:rsid w:val="00394244"/>
    <w:rsid w:val="003947A8"/>
    <w:rsid w:val="00397BF3"/>
    <w:rsid w:val="003A16E5"/>
    <w:rsid w:val="003A1EEA"/>
    <w:rsid w:val="003A2FFB"/>
    <w:rsid w:val="003A34CD"/>
    <w:rsid w:val="003A615E"/>
    <w:rsid w:val="003A6312"/>
    <w:rsid w:val="003A67D1"/>
    <w:rsid w:val="003B0CD8"/>
    <w:rsid w:val="003B1F3E"/>
    <w:rsid w:val="003B4233"/>
    <w:rsid w:val="003C41D2"/>
    <w:rsid w:val="003C4530"/>
    <w:rsid w:val="003C7435"/>
    <w:rsid w:val="003D0ACB"/>
    <w:rsid w:val="003D1E11"/>
    <w:rsid w:val="003D433F"/>
    <w:rsid w:val="003D4C89"/>
    <w:rsid w:val="003D63FD"/>
    <w:rsid w:val="003E0482"/>
    <w:rsid w:val="003E11AB"/>
    <w:rsid w:val="003E3218"/>
    <w:rsid w:val="003E383E"/>
    <w:rsid w:val="003E38C3"/>
    <w:rsid w:val="003E5C26"/>
    <w:rsid w:val="003E7842"/>
    <w:rsid w:val="003F2101"/>
    <w:rsid w:val="003F3B4B"/>
    <w:rsid w:val="003F3FFF"/>
    <w:rsid w:val="003F54DB"/>
    <w:rsid w:val="00404E93"/>
    <w:rsid w:val="0040531B"/>
    <w:rsid w:val="00406E8C"/>
    <w:rsid w:val="00407655"/>
    <w:rsid w:val="00407ED1"/>
    <w:rsid w:val="00410DD4"/>
    <w:rsid w:val="00411840"/>
    <w:rsid w:val="0041389A"/>
    <w:rsid w:val="00417F5B"/>
    <w:rsid w:val="00417FDF"/>
    <w:rsid w:val="00421D09"/>
    <w:rsid w:val="00424A7C"/>
    <w:rsid w:val="00426878"/>
    <w:rsid w:val="00426C76"/>
    <w:rsid w:val="00430C72"/>
    <w:rsid w:val="00431873"/>
    <w:rsid w:val="00432BCB"/>
    <w:rsid w:val="0044251F"/>
    <w:rsid w:val="00444BE8"/>
    <w:rsid w:val="00444EA8"/>
    <w:rsid w:val="00452175"/>
    <w:rsid w:val="00452CF0"/>
    <w:rsid w:val="00454F25"/>
    <w:rsid w:val="00460801"/>
    <w:rsid w:val="00464E82"/>
    <w:rsid w:val="00473BC0"/>
    <w:rsid w:val="00474275"/>
    <w:rsid w:val="004749DC"/>
    <w:rsid w:val="00474CFF"/>
    <w:rsid w:val="004755A4"/>
    <w:rsid w:val="00480751"/>
    <w:rsid w:val="00482513"/>
    <w:rsid w:val="0048298F"/>
    <w:rsid w:val="00483574"/>
    <w:rsid w:val="00483714"/>
    <w:rsid w:val="00483C02"/>
    <w:rsid w:val="00484D5A"/>
    <w:rsid w:val="00490413"/>
    <w:rsid w:val="00491CAF"/>
    <w:rsid w:val="004925DC"/>
    <w:rsid w:val="004957A6"/>
    <w:rsid w:val="00496648"/>
    <w:rsid w:val="004A2A13"/>
    <w:rsid w:val="004A3609"/>
    <w:rsid w:val="004A5A00"/>
    <w:rsid w:val="004A79B7"/>
    <w:rsid w:val="004B6BC1"/>
    <w:rsid w:val="004C1B2E"/>
    <w:rsid w:val="004C291E"/>
    <w:rsid w:val="004C79B8"/>
    <w:rsid w:val="004C7A81"/>
    <w:rsid w:val="004D1648"/>
    <w:rsid w:val="004D276E"/>
    <w:rsid w:val="004D49C0"/>
    <w:rsid w:val="004E0C6E"/>
    <w:rsid w:val="004E115A"/>
    <w:rsid w:val="004E1758"/>
    <w:rsid w:val="004E361F"/>
    <w:rsid w:val="004E500C"/>
    <w:rsid w:val="004E50E8"/>
    <w:rsid w:val="004E6DBA"/>
    <w:rsid w:val="004E7A5F"/>
    <w:rsid w:val="004F2B39"/>
    <w:rsid w:val="004F3DD4"/>
    <w:rsid w:val="004F5E0A"/>
    <w:rsid w:val="00500203"/>
    <w:rsid w:val="00501596"/>
    <w:rsid w:val="00501627"/>
    <w:rsid w:val="00502FCF"/>
    <w:rsid w:val="0050303B"/>
    <w:rsid w:val="00505788"/>
    <w:rsid w:val="00506BD5"/>
    <w:rsid w:val="00512983"/>
    <w:rsid w:val="00512B27"/>
    <w:rsid w:val="005166D3"/>
    <w:rsid w:val="00516995"/>
    <w:rsid w:val="00520AD6"/>
    <w:rsid w:val="0052234A"/>
    <w:rsid w:val="00522A5C"/>
    <w:rsid w:val="005232AC"/>
    <w:rsid w:val="00526983"/>
    <w:rsid w:val="00527F78"/>
    <w:rsid w:val="005331A9"/>
    <w:rsid w:val="00535141"/>
    <w:rsid w:val="00537AD1"/>
    <w:rsid w:val="00542EB8"/>
    <w:rsid w:val="0055000B"/>
    <w:rsid w:val="005509FE"/>
    <w:rsid w:val="00552CAD"/>
    <w:rsid w:val="0055479F"/>
    <w:rsid w:val="00555BAB"/>
    <w:rsid w:val="00556581"/>
    <w:rsid w:val="005571A2"/>
    <w:rsid w:val="005635A0"/>
    <w:rsid w:val="00563A53"/>
    <w:rsid w:val="00564847"/>
    <w:rsid w:val="00567685"/>
    <w:rsid w:val="00567E97"/>
    <w:rsid w:val="005706A8"/>
    <w:rsid w:val="00571A6F"/>
    <w:rsid w:val="00571D0C"/>
    <w:rsid w:val="0057257F"/>
    <w:rsid w:val="005731BB"/>
    <w:rsid w:val="0057750B"/>
    <w:rsid w:val="00577D96"/>
    <w:rsid w:val="00585019"/>
    <w:rsid w:val="00586D54"/>
    <w:rsid w:val="0059005F"/>
    <w:rsid w:val="0059073B"/>
    <w:rsid w:val="00591C46"/>
    <w:rsid w:val="00593214"/>
    <w:rsid w:val="00593F14"/>
    <w:rsid w:val="005952F7"/>
    <w:rsid w:val="00595493"/>
    <w:rsid w:val="00597DA5"/>
    <w:rsid w:val="005A12F7"/>
    <w:rsid w:val="005A1843"/>
    <w:rsid w:val="005A4273"/>
    <w:rsid w:val="005A557C"/>
    <w:rsid w:val="005A682E"/>
    <w:rsid w:val="005B0BA2"/>
    <w:rsid w:val="005B326D"/>
    <w:rsid w:val="005C2AB9"/>
    <w:rsid w:val="005C409C"/>
    <w:rsid w:val="005D0213"/>
    <w:rsid w:val="005D05DB"/>
    <w:rsid w:val="005D0F35"/>
    <w:rsid w:val="005D1705"/>
    <w:rsid w:val="005D1F8F"/>
    <w:rsid w:val="005D7088"/>
    <w:rsid w:val="005E7BE1"/>
    <w:rsid w:val="005F3104"/>
    <w:rsid w:val="005F584C"/>
    <w:rsid w:val="005F6B28"/>
    <w:rsid w:val="0061330E"/>
    <w:rsid w:val="00617076"/>
    <w:rsid w:val="006171E6"/>
    <w:rsid w:val="00621859"/>
    <w:rsid w:val="00623029"/>
    <w:rsid w:val="0062386B"/>
    <w:rsid w:val="00625619"/>
    <w:rsid w:val="006275AF"/>
    <w:rsid w:val="0063095A"/>
    <w:rsid w:val="00633421"/>
    <w:rsid w:val="00634985"/>
    <w:rsid w:val="00636DE5"/>
    <w:rsid w:val="00640768"/>
    <w:rsid w:val="00641CA5"/>
    <w:rsid w:val="00642521"/>
    <w:rsid w:val="0064357A"/>
    <w:rsid w:val="0064416E"/>
    <w:rsid w:val="006441F6"/>
    <w:rsid w:val="00644617"/>
    <w:rsid w:val="00646701"/>
    <w:rsid w:val="00647509"/>
    <w:rsid w:val="00651226"/>
    <w:rsid w:val="00653014"/>
    <w:rsid w:val="00655240"/>
    <w:rsid w:val="0066131B"/>
    <w:rsid w:val="00664C5F"/>
    <w:rsid w:val="00665CA6"/>
    <w:rsid w:val="0066666E"/>
    <w:rsid w:val="00666E1C"/>
    <w:rsid w:val="0066769F"/>
    <w:rsid w:val="00670394"/>
    <w:rsid w:val="00672248"/>
    <w:rsid w:val="00675E13"/>
    <w:rsid w:val="00677DCF"/>
    <w:rsid w:val="006802C2"/>
    <w:rsid w:val="0068331E"/>
    <w:rsid w:val="0068428B"/>
    <w:rsid w:val="006850C3"/>
    <w:rsid w:val="006855D8"/>
    <w:rsid w:val="0068568D"/>
    <w:rsid w:val="0068581E"/>
    <w:rsid w:val="00687CF8"/>
    <w:rsid w:val="0069462A"/>
    <w:rsid w:val="006977BC"/>
    <w:rsid w:val="006A2334"/>
    <w:rsid w:val="006A33AC"/>
    <w:rsid w:val="006A3502"/>
    <w:rsid w:val="006A4B33"/>
    <w:rsid w:val="006A52B0"/>
    <w:rsid w:val="006A5361"/>
    <w:rsid w:val="006A5EB2"/>
    <w:rsid w:val="006B0138"/>
    <w:rsid w:val="006B1683"/>
    <w:rsid w:val="006B1944"/>
    <w:rsid w:val="006B1BF3"/>
    <w:rsid w:val="006B371E"/>
    <w:rsid w:val="006C0812"/>
    <w:rsid w:val="006C14D2"/>
    <w:rsid w:val="006C23FD"/>
    <w:rsid w:val="006C2C97"/>
    <w:rsid w:val="006D3362"/>
    <w:rsid w:val="006D505D"/>
    <w:rsid w:val="006D5CB1"/>
    <w:rsid w:val="006D6A6F"/>
    <w:rsid w:val="006E10D0"/>
    <w:rsid w:val="006E3B13"/>
    <w:rsid w:val="006E4796"/>
    <w:rsid w:val="006E5C4D"/>
    <w:rsid w:val="006E684A"/>
    <w:rsid w:val="006E79FE"/>
    <w:rsid w:val="006F2805"/>
    <w:rsid w:val="006F295D"/>
    <w:rsid w:val="006F7541"/>
    <w:rsid w:val="007017AD"/>
    <w:rsid w:val="0070215E"/>
    <w:rsid w:val="007026CA"/>
    <w:rsid w:val="00706D71"/>
    <w:rsid w:val="0071100A"/>
    <w:rsid w:val="007117ED"/>
    <w:rsid w:val="0071188C"/>
    <w:rsid w:val="00711CB0"/>
    <w:rsid w:val="00714898"/>
    <w:rsid w:val="00716E34"/>
    <w:rsid w:val="00717E3A"/>
    <w:rsid w:val="00721806"/>
    <w:rsid w:val="00724D96"/>
    <w:rsid w:val="00725DFA"/>
    <w:rsid w:val="00731282"/>
    <w:rsid w:val="00732BC2"/>
    <w:rsid w:val="007366F3"/>
    <w:rsid w:val="007454E9"/>
    <w:rsid w:val="00750227"/>
    <w:rsid w:val="007530A8"/>
    <w:rsid w:val="00753979"/>
    <w:rsid w:val="007604EE"/>
    <w:rsid w:val="00764B11"/>
    <w:rsid w:val="00765F1A"/>
    <w:rsid w:val="00766F32"/>
    <w:rsid w:val="00770F5E"/>
    <w:rsid w:val="00773A55"/>
    <w:rsid w:val="007744B2"/>
    <w:rsid w:val="00775A83"/>
    <w:rsid w:val="007845D6"/>
    <w:rsid w:val="00786A82"/>
    <w:rsid w:val="00790232"/>
    <w:rsid w:val="007909C7"/>
    <w:rsid w:val="007937D2"/>
    <w:rsid w:val="007A2255"/>
    <w:rsid w:val="007A7915"/>
    <w:rsid w:val="007B177A"/>
    <w:rsid w:val="007C5794"/>
    <w:rsid w:val="007C5CB0"/>
    <w:rsid w:val="007C6CE6"/>
    <w:rsid w:val="007D1BFB"/>
    <w:rsid w:val="007D40D4"/>
    <w:rsid w:val="007D62E4"/>
    <w:rsid w:val="007D7D9A"/>
    <w:rsid w:val="007E0607"/>
    <w:rsid w:val="007E4AEB"/>
    <w:rsid w:val="007E4CBD"/>
    <w:rsid w:val="007F11E1"/>
    <w:rsid w:val="007F20C9"/>
    <w:rsid w:val="007F3AEA"/>
    <w:rsid w:val="007F437E"/>
    <w:rsid w:val="007F4A18"/>
    <w:rsid w:val="007F5EA9"/>
    <w:rsid w:val="007F79B2"/>
    <w:rsid w:val="00806D14"/>
    <w:rsid w:val="008102B0"/>
    <w:rsid w:val="008139E3"/>
    <w:rsid w:val="00813E83"/>
    <w:rsid w:val="00814215"/>
    <w:rsid w:val="0081444E"/>
    <w:rsid w:val="00815375"/>
    <w:rsid w:val="00820729"/>
    <w:rsid w:val="00821EA3"/>
    <w:rsid w:val="008221DB"/>
    <w:rsid w:val="008277A2"/>
    <w:rsid w:val="00830372"/>
    <w:rsid w:val="008304FA"/>
    <w:rsid w:val="00830AAC"/>
    <w:rsid w:val="008335F9"/>
    <w:rsid w:val="00833996"/>
    <w:rsid w:val="00841EF6"/>
    <w:rsid w:val="00842062"/>
    <w:rsid w:val="0084788D"/>
    <w:rsid w:val="00851BBA"/>
    <w:rsid w:val="00853173"/>
    <w:rsid w:val="008561FB"/>
    <w:rsid w:val="00860830"/>
    <w:rsid w:val="008624E1"/>
    <w:rsid w:val="00864F63"/>
    <w:rsid w:val="00865A1D"/>
    <w:rsid w:val="00871175"/>
    <w:rsid w:val="0087210D"/>
    <w:rsid w:val="00872FF3"/>
    <w:rsid w:val="00875FE1"/>
    <w:rsid w:val="00880779"/>
    <w:rsid w:val="00881FED"/>
    <w:rsid w:val="008829B5"/>
    <w:rsid w:val="00885258"/>
    <w:rsid w:val="00886E7D"/>
    <w:rsid w:val="00887F85"/>
    <w:rsid w:val="00894D09"/>
    <w:rsid w:val="00896761"/>
    <w:rsid w:val="0089729A"/>
    <w:rsid w:val="008A03F5"/>
    <w:rsid w:val="008A0F24"/>
    <w:rsid w:val="008A49C0"/>
    <w:rsid w:val="008B0989"/>
    <w:rsid w:val="008B1AE5"/>
    <w:rsid w:val="008B66FF"/>
    <w:rsid w:val="008B6770"/>
    <w:rsid w:val="008B70FF"/>
    <w:rsid w:val="008C4813"/>
    <w:rsid w:val="008C6A35"/>
    <w:rsid w:val="008C72DF"/>
    <w:rsid w:val="008C7A8A"/>
    <w:rsid w:val="008D0C34"/>
    <w:rsid w:val="008E0832"/>
    <w:rsid w:val="008E1296"/>
    <w:rsid w:val="008E2E86"/>
    <w:rsid w:val="008E6096"/>
    <w:rsid w:val="008E6749"/>
    <w:rsid w:val="008F30DD"/>
    <w:rsid w:val="008F57E5"/>
    <w:rsid w:val="008F65CF"/>
    <w:rsid w:val="008F7E36"/>
    <w:rsid w:val="00900EBE"/>
    <w:rsid w:val="009037F0"/>
    <w:rsid w:val="00904564"/>
    <w:rsid w:val="00904A82"/>
    <w:rsid w:val="0090730C"/>
    <w:rsid w:val="009101BF"/>
    <w:rsid w:val="0091448F"/>
    <w:rsid w:val="0091451D"/>
    <w:rsid w:val="0091496D"/>
    <w:rsid w:val="00916CEB"/>
    <w:rsid w:val="00925F2A"/>
    <w:rsid w:val="00926C89"/>
    <w:rsid w:val="00926E2A"/>
    <w:rsid w:val="00927505"/>
    <w:rsid w:val="009303C0"/>
    <w:rsid w:val="00930637"/>
    <w:rsid w:val="009340AC"/>
    <w:rsid w:val="00941259"/>
    <w:rsid w:val="00941723"/>
    <w:rsid w:val="009425AE"/>
    <w:rsid w:val="00943557"/>
    <w:rsid w:val="009449A3"/>
    <w:rsid w:val="00946571"/>
    <w:rsid w:val="0095004A"/>
    <w:rsid w:val="00951826"/>
    <w:rsid w:val="009539B6"/>
    <w:rsid w:val="009540D6"/>
    <w:rsid w:val="00954159"/>
    <w:rsid w:val="00960989"/>
    <w:rsid w:val="00963877"/>
    <w:rsid w:val="009707DD"/>
    <w:rsid w:val="009708EE"/>
    <w:rsid w:val="009758FE"/>
    <w:rsid w:val="00977675"/>
    <w:rsid w:val="00977B61"/>
    <w:rsid w:val="00980DE3"/>
    <w:rsid w:val="00980E5A"/>
    <w:rsid w:val="0098177E"/>
    <w:rsid w:val="0098405D"/>
    <w:rsid w:val="00987320"/>
    <w:rsid w:val="0099156E"/>
    <w:rsid w:val="00993B57"/>
    <w:rsid w:val="009949F1"/>
    <w:rsid w:val="009A138B"/>
    <w:rsid w:val="009A36D3"/>
    <w:rsid w:val="009A422F"/>
    <w:rsid w:val="009A6089"/>
    <w:rsid w:val="009A7D50"/>
    <w:rsid w:val="009B1233"/>
    <w:rsid w:val="009B277E"/>
    <w:rsid w:val="009B3BE0"/>
    <w:rsid w:val="009B42BE"/>
    <w:rsid w:val="009B705B"/>
    <w:rsid w:val="009B710F"/>
    <w:rsid w:val="009C006B"/>
    <w:rsid w:val="009C0382"/>
    <w:rsid w:val="009C347F"/>
    <w:rsid w:val="009D008B"/>
    <w:rsid w:val="009D0B13"/>
    <w:rsid w:val="009D182B"/>
    <w:rsid w:val="009D25F1"/>
    <w:rsid w:val="009D5C13"/>
    <w:rsid w:val="009D6725"/>
    <w:rsid w:val="009D6AC9"/>
    <w:rsid w:val="009D6B10"/>
    <w:rsid w:val="009D7624"/>
    <w:rsid w:val="009E0AE1"/>
    <w:rsid w:val="009E19D7"/>
    <w:rsid w:val="009E5503"/>
    <w:rsid w:val="009E6B5D"/>
    <w:rsid w:val="009F505C"/>
    <w:rsid w:val="009F5CB3"/>
    <w:rsid w:val="009F7ED0"/>
    <w:rsid w:val="00A05309"/>
    <w:rsid w:val="00A071ED"/>
    <w:rsid w:val="00A11854"/>
    <w:rsid w:val="00A16781"/>
    <w:rsid w:val="00A203D7"/>
    <w:rsid w:val="00A21587"/>
    <w:rsid w:val="00A24465"/>
    <w:rsid w:val="00A24F39"/>
    <w:rsid w:val="00A27970"/>
    <w:rsid w:val="00A305C6"/>
    <w:rsid w:val="00A309A9"/>
    <w:rsid w:val="00A311CD"/>
    <w:rsid w:val="00A318CD"/>
    <w:rsid w:val="00A318DD"/>
    <w:rsid w:val="00A3436C"/>
    <w:rsid w:val="00A35782"/>
    <w:rsid w:val="00A368A9"/>
    <w:rsid w:val="00A37E9C"/>
    <w:rsid w:val="00A40F06"/>
    <w:rsid w:val="00A41445"/>
    <w:rsid w:val="00A41585"/>
    <w:rsid w:val="00A42305"/>
    <w:rsid w:val="00A43A03"/>
    <w:rsid w:val="00A4645D"/>
    <w:rsid w:val="00A46851"/>
    <w:rsid w:val="00A4723E"/>
    <w:rsid w:val="00A56655"/>
    <w:rsid w:val="00A5744E"/>
    <w:rsid w:val="00A57720"/>
    <w:rsid w:val="00A60C9A"/>
    <w:rsid w:val="00A61442"/>
    <w:rsid w:val="00A62203"/>
    <w:rsid w:val="00A62549"/>
    <w:rsid w:val="00A6561F"/>
    <w:rsid w:val="00A657F1"/>
    <w:rsid w:val="00A669F8"/>
    <w:rsid w:val="00A66E7F"/>
    <w:rsid w:val="00A75CA1"/>
    <w:rsid w:val="00A75D5D"/>
    <w:rsid w:val="00A775BE"/>
    <w:rsid w:val="00A779A6"/>
    <w:rsid w:val="00A804FF"/>
    <w:rsid w:val="00A81576"/>
    <w:rsid w:val="00A86B34"/>
    <w:rsid w:val="00A87B2C"/>
    <w:rsid w:val="00A9161A"/>
    <w:rsid w:val="00A9311E"/>
    <w:rsid w:val="00A94AE6"/>
    <w:rsid w:val="00A957C3"/>
    <w:rsid w:val="00A95D93"/>
    <w:rsid w:val="00A9727E"/>
    <w:rsid w:val="00A97360"/>
    <w:rsid w:val="00AA1F21"/>
    <w:rsid w:val="00AA33AC"/>
    <w:rsid w:val="00AB28EA"/>
    <w:rsid w:val="00AB5040"/>
    <w:rsid w:val="00AB5F75"/>
    <w:rsid w:val="00AB6457"/>
    <w:rsid w:val="00AC36C8"/>
    <w:rsid w:val="00AC408B"/>
    <w:rsid w:val="00AD05E7"/>
    <w:rsid w:val="00AD08D5"/>
    <w:rsid w:val="00AD2515"/>
    <w:rsid w:val="00AD3AE2"/>
    <w:rsid w:val="00AE0DEF"/>
    <w:rsid w:val="00AE1B2A"/>
    <w:rsid w:val="00AE3D2C"/>
    <w:rsid w:val="00AF0018"/>
    <w:rsid w:val="00AF30F6"/>
    <w:rsid w:val="00AF5792"/>
    <w:rsid w:val="00AF7F0B"/>
    <w:rsid w:val="00B015B0"/>
    <w:rsid w:val="00B01DD2"/>
    <w:rsid w:val="00B0240A"/>
    <w:rsid w:val="00B07793"/>
    <w:rsid w:val="00B130A1"/>
    <w:rsid w:val="00B14825"/>
    <w:rsid w:val="00B17326"/>
    <w:rsid w:val="00B238E3"/>
    <w:rsid w:val="00B244AC"/>
    <w:rsid w:val="00B27B5F"/>
    <w:rsid w:val="00B323CE"/>
    <w:rsid w:val="00B35A99"/>
    <w:rsid w:val="00B42ECD"/>
    <w:rsid w:val="00B51394"/>
    <w:rsid w:val="00B51F5F"/>
    <w:rsid w:val="00B52087"/>
    <w:rsid w:val="00B53444"/>
    <w:rsid w:val="00B53655"/>
    <w:rsid w:val="00B538D0"/>
    <w:rsid w:val="00B60C71"/>
    <w:rsid w:val="00B60CF6"/>
    <w:rsid w:val="00B60FF2"/>
    <w:rsid w:val="00B63FFB"/>
    <w:rsid w:val="00B6622D"/>
    <w:rsid w:val="00B66230"/>
    <w:rsid w:val="00B670F7"/>
    <w:rsid w:val="00B7732C"/>
    <w:rsid w:val="00B81A20"/>
    <w:rsid w:val="00B81F57"/>
    <w:rsid w:val="00B82E82"/>
    <w:rsid w:val="00B833ED"/>
    <w:rsid w:val="00B83A78"/>
    <w:rsid w:val="00B85F19"/>
    <w:rsid w:val="00B87B20"/>
    <w:rsid w:val="00B91653"/>
    <w:rsid w:val="00B95094"/>
    <w:rsid w:val="00B96E25"/>
    <w:rsid w:val="00BA31DA"/>
    <w:rsid w:val="00BA36FB"/>
    <w:rsid w:val="00BA4B9B"/>
    <w:rsid w:val="00BA4FEE"/>
    <w:rsid w:val="00BB023F"/>
    <w:rsid w:val="00BB1882"/>
    <w:rsid w:val="00BB3F81"/>
    <w:rsid w:val="00BC0010"/>
    <w:rsid w:val="00BC3F7C"/>
    <w:rsid w:val="00BC4DEF"/>
    <w:rsid w:val="00BC6079"/>
    <w:rsid w:val="00BD3DE1"/>
    <w:rsid w:val="00BD67CC"/>
    <w:rsid w:val="00BD6863"/>
    <w:rsid w:val="00BD7105"/>
    <w:rsid w:val="00BE198C"/>
    <w:rsid w:val="00BE29E5"/>
    <w:rsid w:val="00BE3BA1"/>
    <w:rsid w:val="00BE5CC9"/>
    <w:rsid w:val="00BF0B0B"/>
    <w:rsid w:val="00BF0EB7"/>
    <w:rsid w:val="00BF3B76"/>
    <w:rsid w:val="00BF53B6"/>
    <w:rsid w:val="00BF54FA"/>
    <w:rsid w:val="00BF7CEB"/>
    <w:rsid w:val="00C04B4C"/>
    <w:rsid w:val="00C10EF8"/>
    <w:rsid w:val="00C12388"/>
    <w:rsid w:val="00C12F83"/>
    <w:rsid w:val="00C145BB"/>
    <w:rsid w:val="00C14736"/>
    <w:rsid w:val="00C20F32"/>
    <w:rsid w:val="00C231A2"/>
    <w:rsid w:val="00C23D61"/>
    <w:rsid w:val="00C24766"/>
    <w:rsid w:val="00C25B42"/>
    <w:rsid w:val="00C27F37"/>
    <w:rsid w:val="00C310F3"/>
    <w:rsid w:val="00C32215"/>
    <w:rsid w:val="00C3357C"/>
    <w:rsid w:val="00C36AC9"/>
    <w:rsid w:val="00C41BC3"/>
    <w:rsid w:val="00C42F83"/>
    <w:rsid w:val="00C4431A"/>
    <w:rsid w:val="00C473EF"/>
    <w:rsid w:val="00C500AE"/>
    <w:rsid w:val="00C550C3"/>
    <w:rsid w:val="00C56A1C"/>
    <w:rsid w:val="00C6505D"/>
    <w:rsid w:val="00C65389"/>
    <w:rsid w:val="00C659C4"/>
    <w:rsid w:val="00C67975"/>
    <w:rsid w:val="00C71671"/>
    <w:rsid w:val="00C734A2"/>
    <w:rsid w:val="00C739F9"/>
    <w:rsid w:val="00C73C1C"/>
    <w:rsid w:val="00C74CA2"/>
    <w:rsid w:val="00C77F83"/>
    <w:rsid w:val="00C80011"/>
    <w:rsid w:val="00C81552"/>
    <w:rsid w:val="00C825D7"/>
    <w:rsid w:val="00C83A4A"/>
    <w:rsid w:val="00C854F5"/>
    <w:rsid w:val="00C877CD"/>
    <w:rsid w:val="00C907F3"/>
    <w:rsid w:val="00C9243B"/>
    <w:rsid w:val="00C92544"/>
    <w:rsid w:val="00C932F6"/>
    <w:rsid w:val="00C93DE9"/>
    <w:rsid w:val="00CA1589"/>
    <w:rsid w:val="00CA4D87"/>
    <w:rsid w:val="00CA5EC5"/>
    <w:rsid w:val="00CA6DB8"/>
    <w:rsid w:val="00CB01B9"/>
    <w:rsid w:val="00CB0F4C"/>
    <w:rsid w:val="00CB57CC"/>
    <w:rsid w:val="00CB5B47"/>
    <w:rsid w:val="00CB6EEA"/>
    <w:rsid w:val="00CC2E47"/>
    <w:rsid w:val="00CC3552"/>
    <w:rsid w:val="00CC36E1"/>
    <w:rsid w:val="00CC4461"/>
    <w:rsid w:val="00CC5B17"/>
    <w:rsid w:val="00CD18EC"/>
    <w:rsid w:val="00CD3750"/>
    <w:rsid w:val="00CD495F"/>
    <w:rsid w:val="00CD5879"/>
    <w:rsid w:val="00CE09F5"/>
    <w:rsid w:val="00CE1BF7"/>
    <w:rsid w:val="00CE3084"/>
    <w:rsid w:val="00CE3438"/>
    <w:rsid w:val="00CE40C4"/>
    <w:rsid w:val="00CE5006"/>
    <w:rsid w:val="00CE5492"/>
    <w:rsid w:val="00CE682C"/>
    <w:rsid w:val="00CF09D2"/>
    <w:rsid w:val="00CF0AE1"/>
    <w:rsid w:val="00CF1B33"/>
    <w:rsid w:val="00CF290F"/>
    <w:rsid w:val="00CF6846"/>
    <w:rsid w:val="00D015B2"/>
    <w:rsid w:val="00D06938"/>
    <w:rsid w:val="00D07920"/>
    <w:rsid w:val="00D13A8C"/>
    <w:rsid w:val="00D13EAE"/>
    <w:rsid w:val="00D17571"/>
    <w:rsid w:val="00D17937"/>
    <w:rsid w:val="00D21821"/>
    <w:rsid w:val="00D231BA"/>
    <w:rsid w:val="00D235E9"/>
    <w:rsid w:val="00D2523A"/>
    <w:rsid w:val="00D255D0"/>
    <w:rsid w:val="00D26F7A"/>
    <w:rsid w:val="00D27B2B"/>
    <w:rsid w:val="00D31B7C"/>
    <w:rsid w:val="00D33815"/>
    <w:rsid w:val="00D33DD3"/>
    <w:rsid w:val="00D3447B"/>
    <w:rsid w:val="00D35F18"/>
    <w:rsid w:val="00D36509"/>
    <w:rsid w:val="00D4182E"/>
    <w:rsid w:val="00D43156"/>
    <w:rsid w:val="00D503EF"/>
    <w:rsid w:val="00D55012"/>
    <w:rsid w:val="00D564D3"/>
    <w:rsid w:val="00D571D7"/>
    <w:rsid w:val="00D5751A"/>
    <w:rsid w:val="00D613EA"/>
    <w:rsid w:val="00D647FF"/>
    <w:rsid w:val="00D664D9"/>
    <w:rsid w:val="00D6692C"/>
    <w:rsid w:val="00D676F5"/>
    <w:rsid w:val="00D729EC"/>
    <w:rsid w:val="00D734C0"/>
    <w:rsid w:val="00D734DF"/>
    <w:rsid w:val="00D74BD3"/>
    <w:rsid w:val="00D76429"/>
    <w:rsid w:val="00D80618"/>
    <w:rsid w:val="00D82A0C"/>
    <w:rsid w:val="00D85858"/>
    <w:rsid w:val="00D92D54"/>
    <w:rsid w:val="00D93D91"/>
    <w:rsid w:val="00D944F4"/>
    <w:rsid w:val="00D94998"/>
    <w:rsid w:val="00DA3FC0"/>
    <w:rsid w:val="00DA4B9F"/>
    <w:rsid w:val="00DA67B8"/>
    <w:rsid w:val="00DA7001"/>
    <w:rsid w:val="00DA77EC"/>
    <w:rsid w:val="00DB5700"/>
    <w:rsid w:val="00DC1F3D"/>
    <w:rsid w:val="00DC6612"/>
    <w:rsid w:val="00DD1F5E"/>
    <w:rsid w:val="00DD2A0A"/>
    <w:rsid w:val="00DD4805"/>
    <w:rsid w:val="00DD5772"/>
    <w:rsid w:val="00DD787A"/>
    <w:rsid w:val="00DE3C0D"/>
    <w:rsid w:val="00DE5032"/>
    <w:rsid w:val="00DE5C53"/>
    <w:rsid w:val="00DE7B63"/>
    <w:rsid w:val="00DF0F0D"/>
    <w:rsid w:val="00E000B7"/>
    <w:rsid w:val="00E01955"/>
    <w:rsid w:val="00E054A8"/>
    <w:rsid w:val="00E07414"/>
    <w:rsid w:val="00E12D77"/>
    <w:rsid w:val="00E16EB6"/>
    <w:rsid w:val="00E20877"/>
    <w:rsid w:val="00E21E99"/>
    <w:rsid w:val="00E22520"/>
    <w:rsid w:val="00E23121"/>
    <w:rsid w:val="00E23A62"/>
    <w:rsid w:val="00E25D95"/>
    <w:rsid w:val="00E321B1"/>
    <w:rsid w:val="00E33F3F"/>
    <w:rsid w:val="00E348F5"/>
    <w:rsid w:val="00E40EE0"/>
    <w:rsid w:val="00E44A21"/>
    <w:rsid w:val="00E44E6F"/>
    <w:rsid w:val="00E462EC"/>
    <w:rsid w:val="00E51B93"/>
    <w:rsid w:val="00E51E31"/>
    <w:rsid w:val="00E5270B"/>
    <w:rsid w:val="00E55830"/>
    <w:rsid w:val="00E610CE"/>
    <w:rsid w:val="00E647BC"/>
    <w:rsid w:val="00E7389C"/>
    <w:rsid w:val="00E74356"/>
    <w:rsid w:val="00E76167"/>
    <w:rsid w:val="00E7648E"/>
    <w:rsid w:val="00E764E0"/>
    <w:rsid w:val="00E814E8"/>
    <w:rsid w:val="00E81AC5"/>
    <w:rsid w:val="00E82254"/>
    <w:rsid w:val="00E82C18"/>
    <w:rsid w:val="00E82E50"/>
    <w:rsid w:val="00E84E6A"/>
    <w:rsid w:val="00E85F7E"/>
    <w:rsid w:val="00E871D2"/>
    <w:rsid w:val="00E9040E"/>
    <w:rsid w:val="00E90B66"/>
    <w:rsid w:val="00E91D7B"/>
    <w:rsid w:val="00E92193"/>
    <w:rsid w:val="00E92C22"/>
    <w:rsid w:val="00E93798"/>
    <w:rsid w:val="00EA46E4"/>
    <w:rsid w:val="00EB0CA2"/>
    <w:rsid w:val="00EB1008"/>
    <w:rsid w:val="00EB131B"/>
    <w:rsid w:val="00EB3D01"/>
    <w:rsid w:val="00EB5E26"/>
    <w:rsid w:val="00EB5E85"/>
    <w:rsid w:val="00EC3AF9"/>
    <w:rsid w:val="00EC5581"/>
    <w:rsid w:val="00EC759E"/>
    <w:rsid w:val="00ED64C4"/>
    <w:rsid w:val="00ED6CB1"/>
    <w:rsid w:val="00EE1F91"/>
    <w:rsid w:val="00EE5BBE"/>
    <w:rsid w:val="00EE6679"/>
    <w:rsid w:val="00EE6D73"/>
    <w:rsid w:val="00EE7D84"/>
    <w:rsid w:val="00EF101A"/>
    <w:rsid w:val="00EF5E5B"/>
    <w:rsid w:val="00F0392B"/>
    <w:rsid w:val="00F058F3"/>
    <w:rsid w:val="00F072D2"/>
    <w:rsid w:val="00F07A17"/>
    <w:rsid w:val="00F07A94"/>
    <w:rsid w:val="00F10183"/>
    <w:rsid w:val="00F106EA"/>
    <w:rsid w:val="00F14B64"/>
    <w:rsid w:val="00F15A10"/>
    <w:rsid w:val="00F15C9B"/>
    <w:rsid w:val="00F16144"/>
    <w:rsid w:val="00F16CF1"/>
    <w:rsid w:val="00F1781E"/>
    <w:rsid w:val="00F22393"/>
    <w:rsid w:val="00F24DBD"/>
    <w:rsid w:val="00F278F2"/>
    <w:rsid w:val="00F322C2"/>
    <w:rsid w:val="00F32CE5"/>
    <w:rsid w:val="00F33C7B"/>
    <w:rsid w:val="00F3500C"/>
    <w:rsid w:val="00F35C03"/>
    <w:rsid w:val="00F363F4"/>
    <w:rsid w:val="00F367D4"/>
    <w:rsid w:val="00F40BAB"/>
    <w:rsid w:val="00F40F49"/>
    <w:rsid w:val="00F42784"/>
    <w:rsid w:val="00F45033"/>
    <w:rsid w:val="00F51288"/>
    <w:rsid w:val="00F517D9"/>
    <w:rsid w:val="00F53AF5"/>
    <w:rsid w:val="00F5677B"/>
    <w:rsid w:val="00F57F8D"/>
    <w:rsid w:val="00F62415"/>
    <w:rsid w:val="00F6564F"/>
    <w:rsid w:val="00F73A37"/>
    <w:rsid w:val="00F74C47"/>
    <w:rsid w:val="00F77149"/>
    <w:rsid w:val="00F77C07"/>
    <w:rsid w:val="00F815B8"/>
    <w:rsid w:val="00F82A6A"/>
    <w:rsid w:val="00F82D22"/>
    <w:rsid w:val="00F863B9"/>
    <w:rsid w:val="00F87603"/>
    <w:rsid w:val="00F918F2"/>
    <w:rsid w:val="00F922D8"/>
    <w:rsid w:val="00F94D84"/>
    <w:rsid w:val="00F964E4"/>
    <w:rsid w:val="00FA0C40"/>
    <w:rsid w:val="00FA5C61"/>
    <w:rsid w:val="00FB15D5"/>
    <w:rsid w:val="00FB26AF"/>
    <w:rsid w:val="00FB28D0"/>
    <w:rsid w:val="00FB3B1E"/>
    <w:rsid w:val="00FB47E7"/>
    <w:rsid w:val="00FB75A3"/>
    <w:rsid w:val="00FB7872"/>
    <w:rsid w:val="00FC0E2E"/>
    <w:rsid w:val="00FC22A1"/>
    <w:rsid w:val="00FC44AC"/>
    <w:rsid w:val="00FC4927"/>
    <w:rsid w:val="00FD0F98"/>
    <w:rsid w:val="00FD24AD"/>
    <w:rsid w:val="00FD417A"/>
    <w:rsid w:val="00FD4B31"/>
    <w:rsid w:val="00FD57D7"/>
    <w:rsid w:val="00FD67AA"/>
    <w:rsid w:val="00FD7671"/>
    <w:rsid w:val="00FD76C0"/>
    <w:rsid w:val="00FD7FCC"/>
    <w:rsid w:val="00FE2925"/>
    <w:rsid w:val="00FE5656"/>
    <w:rsid w:val="00FE635C"/>
    <w:rsid w:val="00FE64D2"/>
    <w:rsid w:val="00FE6936"/>
    <w:rsid w:val="00FE7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93"/>
  </w:style>
  <w:style w:type="paragraph" w:styleId="Heading1">
    <w:name w:val="heading 1"/>
    <w:basedOn w:val="Normal"/>
    <w:next w:val="Normal"/>
    <w:link w:val="Heading1Char"/>
    <w:uiPriority w:val="9"/>
    <w:qFormat/>
    <w:rsid w:val="00C24766"/>
    <w:pPr>
      <w:keepNext/>
      <w:widowControl w:val="0"/>
      <w:overflowPunct w:val="0"/>
      <w:autoSpaceDE w:val="0"/>
      <w:autoSpaceDN w:val="0"/>
      <w:adjustRightInd w:val="0"/>
      <w:spacing w:before="240" w:after="120"/>
      <w:jc w:val="center"/>
      <w:outlineLvl w:val="0"/>
    </w:pPr>
    <w:rPr>
      <w:rFonts w:eastAsia="Times New Roman"/>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766"/>
    <w:rPr>
      <w:rFonts w:eastAsia="Times New Roman"/>
      <w:b/>
      <w:smallCaps/>
      <w:szCs w:val="20"/>
    </w:rPr>
  </w:style>
  <w:style w:type="character" w:styleId="HTMLCite">
    <w:name w:val="HTML Cite"/>
    <w:basedOn w:val="DefaultParagraphFont"/>
    <w:uiPriority w:val="99"/>
    <w:semiHidden/>
    <w:unhideWhenUsed/>
    <w:rsid w:val="00C24766"/>
    <w:rPr>
      <w:i/>
      <w:iCs w:val="0"/>
    </w:rPr>
  </w:style>
  <w:style w:type="paragraph" w:styleId="NormalWeb">
    <w:name w:val="Normal (Web)"/>
    <w:basedOn w:val="Normal"/>
    <w:uiPriority w:val="99"/>
    <w:unhideWhenUsed/>
    <w:rsid w:val="00C24766"/>
    <w:pPr>
      <w:spacing w:before="100" w:beforeAutospacing="1" w:after="100" w:afterAutospacing="1"/>
    </w:pPr>
    <w:rPr>
      <w:rFonts w:eastAsia="Times New Roman"/>
      <w:color w:val="000000"/>
    </w:rPr>
  </w:style>
  <w:style w:type="paragraph" w:styleId="FootnoteText">
    <w:name w:val="footnote text"/>
    <w:basedOn w:val="Normal"/>
    <w:link w:val="FootnoteTextChar"/>
    <w:uiPriority w:val="99"/>
    <w:semiHidden/>
    <w:unhideWhenUsed/>
    <w:rsid w:val="00C24766"/>
    <w:pPr>
      <w:widowControl w:val="0"/>
      <w:tabs>
        <w:tab w:val="left" w:pos="450"/>
      </w:tabs>
      <w:overflowPunct w:val="0"/>
      <w:autoSpaceDE w:val="0"/>
      <w:autoSpaceDN w:val="0"/>
      <w:adjustRightInd w:val="0"/>
    </w:pPr>
    <w:rPr>
      <w:rFonts w:eastAsia="Times New Roman"/>
      <w:sz w:val="18"/>
      <w:szCs w:val="20"/>
    </w:rPr>
  </w:style>
  <w:style w:type="character" w:customStyle="1" w:styleId="FootnoteTextChar">
    <w:name w:val="Footnote Text Char"/>
    <w:basedOn w:val="DefaultParagraphFont"/>
    <w:link w:val="FootnoteText"/>
    <w:uiPriority w:val="99"/>
    <w:semiHidden/>
    <w:rsid w:val="00C24766"/>
    <w:rPr>
      <w:rFonts w:eastAsia="Times New Roman"/>
      <w:sz w:val="18"/>
      <w:szCs w:val="20"/>
    </w:rPr>
  </w:style>
  <w:style w:type="paragraph" w:styleId="EndnoteText">
    <w:name w:val="endnote text"/>
    <w:basedOn w:val="Normal"/>
    <w:link w:val="EndnoteTextChar"/>
    <w:uiPriority w:val="99"/>
    <w:semiHidden/>
    <w:unhideWhenUsed/>
    <w:rsid w:val="00C24766"/>
    <w:pPr>
      <w:widowControl w:val="0"/>
      <w:overflowPunct w:val="0"/>
      <w:autoSpaceDE w:val="0"/>
      <w:autoSpaceDN w:val="0"/>
      <w:adjustRightInd w:val="0"/>
    </w:pPr>
    <w:rPr>
      <w:rFonts w:eastAsia="Times New Roman"/>
      <w:sz w:val="20"/>
      <w:szCs w:val="20"/>
    </w:rPr>
  </w:style>
  <w:style w:type="character" w:customStyle="1" w:styleId="EndnoteTextChar">
    <w:name w:val="Endnote Text Char"/>
    <w:basedOn w:val="DefaultParagraphFont"/>
    <w:link w:val="EndnoteText"/>
    <w:uiPriority w:val="99"/>
    <w:semiHidden/>
    <w:rsid w:val="00C24766"/>
    <w:rPr>
      <w:rFonts w:eastAsia="Times New Roman"/>
      <w:sz w:val="20"/>
      <w:szCs w:val="20"/>
    </w:rPr>
  </w:style>
  <w:style w:type="paragraph" w:styleId="ListBullet">
    <w:name w:val="List Bullet"/>
    <w:basedOn w:val="Normal"/>
    <w:autoRedefine/>
    <w:uiPriority w:val="99"/>
    <w:semiHidden/>
    <w:unhideWhenUsed/>
    <w:rsid w:val="00C24766"/>
    <w:pPr>
      <w:widowControl w:val="0"/>
      <w:numPr>
        <w:numId w:val="1"/>
      </w:numPr>
      <w:autoSpaceDE w:val="0"/>
      <w:autoSpaceDN w:val="0"/>
      <w:adjustRightInd w:val="0"/>
      <w:ind w:left="0" w:firstLine="0"/>
    </w:pPr>
    <w:rPr>
      <w:rFonts w:ascii="Univers" w:eastAsia="Times New Roman" w:hAnsi="Univers"/>
      <w:sz w:val="20"/>
    </w:rPr>
  </w:style>
  <w:style w:type="paragraph" w:styleId="BodyText">
    <w:name w:val="Body Text"/>
    <w:basedOn w:val="Normal"/>
    <w:link w:val="BodyTextChar"/>
    <w:uiPriority w:val="99"/>
    <w:semiHidden/>
    <w:unhideWhenUsed/>
    <w:rsid w:val="00C24766"/>
    <w:pPr>
      <w:widowControl w:val="0"/>
      <w:autoSpaceDE w:val="0"/>
      <w:autoSpaceDN w:val="0"/>
      <w:spacing w:line="480" w:lineRule="atLeast"/>
    </w:pPr>
    <w:rPr>
      <w:rFonts w:ascii="Courier" w:eastAsia="Times New Roman" w:hAnsi="Courier"/>
    </w:rPr>
  </w:style>
  <w:style w:type="character" w:customStyle="1" w:styleId="BodyTextChar">
    <w:name w:val="Body Text Char"/>
    <w:basedOn w:val="DefaultParagraphFont"/>
    <w:link w:val="BodyText"/>
    <w:uiPriority w:val="99"/>
    <w:semiHidden/>
    <w:rsid w:val="00C24766"/>
    <w:rPr>
      <w:rFonts w:ascii="Courier" w:eastAsia="Times New Roman" w:hAnsi="Courier"/>
    </w:rPr>
  </w:style>
  <w:style w:type="paragraph" w:customStyle="1" w:styleId="a-ARTTITLE">
    <w:name w:val="a-ART TITLE"/>
    <w:basedOn w:val="Normal"/>
    <w:rsid w:val="00C24766"/>
    <w:pPr>
      <w:widowControl w:val="0"/>
      <w:overflowPunct w:val="0"/>
      <w:autoSpaceDE w:val="0"/>
      <w:autoSpaceDN w:val="0"/>
      <w:adjustRightInd w:val="0"/>
      <w:spacing w:line="320" w:lineRule="exact"/>
      <w:jc w:val="center"/>
    </w:pPr>
    <w:rPr>
      <w:rFonts w:eastAsia="Times New Roman"/>
      <w:b/>
      <w:smallCaps/>
      <w:sz w:val="28"/>
      <w:szCs w:val="20"/>
    </w:rPr>
  </w:style>
  <w:style w:type="paragraph" w:customStyle="1" w:styleId="a-1stSubHd">
    <w:name w:val="a-1st Sub Hd"/>
    <w:basedOn w:val="Normal"/>
    <w:rsid w:val="00C24766"/>
    <w:pPr>
      <w:widowControl w:val="0"/>
      <w:overflowPunct w:val="0"/>
      <w:autoSpaceDE w:val="0"/>
      <w:autoSpaceDN w:val="0"/>
      <w:adjustRightInd w:val="0"/>
      <w:spacing w:before="260" w:after="120"/>
      <w:jc w:val="center"/>
    </w:pPr>
    <w:rPr>
      <w:rFonts w:eastAsia="Times New Roman"/>
      <w:smallCaps/>
      <w:szCs w:val="20"/>
    </w:rPr>
  </w:style>
  <w:style w:type="character" w:styleId="FootnoteReference">
    <w:name w:val="footnote reference"/>
    <w:basedOn w:val="DefaultParagraphFont"/>
    <w:uiPriority w:val="99"/>
    <w:semiHidden/>
    <w:unhideWhenUsed/>
    <w:rsid w:val="00C24766"/>
    <w:rPr>
      <w:sz w:val="18"/>
      <w:vertAlign w:val="superscript"/>
    </w:rPr>
  </w:style>
  <w:style w:type="character" w:styleId="EndnoteReference">
    <w:name w:val="endnote reference"/>
    <w:basedOn w:val="DefaultParagraphFont"/>
    <w:uiPriority w:val="99"/>
    <w:semiHidden/>
    <w:unhideWhenUsed/>
    <w:rsid w:val="00C24766"/>
    <w:rPr>
      <w:vertAlign w:val="superscript"/>
    </w:rPr>
  </w:style>
  <w:style w:type="character" w:customStyle="1" w:styleId="footnoteref">
    <w:name w:val="footnote ref"/>
    <w:rsid w:val="00C24766"/>
  </w:style>
  <w:style w:type="character" w:customStyle="1" w:styleId="Hypertext">
    <w:name w:val="Hypertext"/>
    <w:rsid w:val="00C24766"/>
    <w:rPr>
      <w:color w:val="0000FF"/>
    </w:rPr>
  </w:style>
  <w:style w:type="character" w:styleId="Hyperlink">
    <w:name w:val="Hyperlink"/>
    <w:basedOn w:val="DefaultParagraphFont"/>
    <w:uiPriority w:val="99"/>
    <w:semiHidden/>
    <w:unhideWhenUsed/>
    <w:rsid w:val="00C24766"/>
    <w:rPr>
      <w:color w:val="0000FF"/>
      <w:u w:val="single"/>
    </w:rPr>
  </w:style>
  <w:style w:type="character" w:styleId="FollowedHyperlink">
    <w:name w:val="FollowedHyperlink"/>
    <w:basedOn w:val="DefaultParagraphFont"/>
    <w:uiPriority w:val="99"/>
    <w:semiHidden/>
    <w:unhideWhenUsed/>
    <w:rsid w:val="00C24766"/>
    <w:rPr>
      <w:color w:val="800080"/>
      <w:u w:val="single"/>
    </w:rPr>
  </w:style>
  <w:style w:type="character" w:styleId="Emphasis">
    <w:name w:val="Emphasis"/>
    <w:basedOn w:val="DefaultParagraphFont"/>
    <w:uiPriority w:val="20"/>
    <w:qFormat/>
    <w:rsid w:val="00C24766"/>
    <w:rPr>
      <w:i/>
      <w:iCs/>
    </w:rPr>
  </w:style>
</w:styles>
</file>

<file path=word/webSettings.xml><?xml version="1.0" encoding="utf-8"?>
<w:webSettings xmlns:r="http://schemas.openxmlformats.org/officeDocument/2006/relationships" xmlns:w="http://schemas.openxmlformats.org/wordprocessingml/2006/main">
  <w:divs>
    <w:div w:id="746923458">
      <w:bodyDiv w:val="1"/>
      <w:marLeft w:val="0"/>
      <w:marRight w:val="0"/>
      <w:marTop w:val="0"/>
      <w:marBottom w:val="0"/>
      <w:divBdr>
        <w:top w:val="none" w:sz="0" w:space="0" w:color="auto"/>
        <w:left w:val="none" w:sz="0" w:space="0" w:color="auto"/>
        <w:bottom w:val="none" w:sz="0" w:space="0" w:color="auto"/>
        <w:right w:val="none" w:sz="0" w:space="0" w:color="auto"/>
      </w:divBdr>
      <w:divsChild>
        <w:div w:id="195286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79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movies.htm" TargetMode="External"/><Relationship Id="rId3" Type="http://schemas.openxmlformats.org/officeDocument/2006/relationships/settings" Target="settings.xml"/><Relationship Id="rId7" Type="http://schemas.openxmlformats.org/officeDocument/2006/relationships/hyperlink" Target="file:///C:\boo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www-2.cs.cmu.edu/afs/cs/user/wbardwel/public/nfalist/state_v_fennell.txt" TargetMode="External"/><Relationship Id="rId21" Type="http://schemas.openxmlformats.org/officeDocument/2006/relationships/hyperlink" Target="file:///C:\GunContr\Law%20Rev-Guns\Kopel-State%20Constitutions%20&amp;%202nd%20Amend.htm" TargetMode="External"/><Relationship Id="rId34" Type="http://schemas.openxmlformats.org/officeDocument/2006/relationships/hyperlink" Target="http://caselaw.lp.findlaw.com/scripts/getcase.pl?navby=case&amp;court=us&amp;vol=116&amp;page=252" TargetMode="External"/><Relationship Id="rId42" Type="http://schemas.openxmlformats.org/officeDocument/2006/relationships/hyperlink" Target="file:///C:\GunContr\Law%20Rev-Guns\35FinalPartOne.htm" TargetMode="External"/><Relationship Id="rId47" Type="http://schemas.openxmlformats.org/officeDocument/2006/relationships/hyperlink" Target="http://www-2.cs.cmu.edu/afs/cs/user/wbardwel/public/nfalist/rinzler_v_carson.txt" TargetMode="External"/><Relationship Id="rId50" Type="http://schemas.openxmlformats.org/officeDocument/2006/relationships/hyperlink" Target="http://www-2.cs.cmu.edu/afs/cs/user/wbardwel/public/nfalist/hill_v_state.txt" TargetMode="External"/><Relationship Id="rId55" Type="http://schemas.openxmlformats.org/officeDocument/2006/relationships/hyperlink" Target="http://www-2.cs.cmu.edu/afs/cs/user/wbardwel/public/nfalist/in_re_brickey.txt" TargetMode="External"/><Relationship Id="rId63" Type="http://schemas.openxmlformats.org/officeDocument/2006/relationships/hyperlink" Target="http://www-2.cs.cmu.edu/afs/cs/user/wbardwel/public/nfalist/schubert_v_debard.txt" TargetMode="External"/><Relationship Id="rId68" Type="http://schemas.openxmlformats.org/officeDocument/2006/relationships/hyperlink" Target="file:///C:\GunContr\Law%20Rev-Guns\Kopel-State%20Constitutions%20&amp;%202nd%20Amend.htm" TargetMode="External"/><Relationship Id="rId76" Type="http://schemas.openxmlformats.org/officeDocument/2006/relationships/hyperlink" Target="http://www.law.ucla.edu/faculty/volokh/beararms/statecon.htm" TargetMode="External"/><Relationship Id="rId84" Type="http://schemas.openxmlformats.org/officeDocument/2006/relationships/hyperlink" Target="http://www-2.cs.cmu.edu/afs/cs/user/wbardwel/public/nfalist/state_v_foutch.txt" TargetMode="External"/><Relationship Id="rId89" Type="http://schemas.openxmlformats.org/officeDocument/2006/relationships/hyperlink" Target="http://www.saf.org/LawReviews/DorfChicago.htm" TargetMode="External"/><Relationship Id="rId97" Type="http://schemas.openxmlformats.org/officeDocument/2006/relationships/hyperlink" Target="http://www-2.cs.cmu.edu/afs/cs/user/wbardwel/public/nfalist/commonwealth_v_davis.txt" TargetMode="External"/><Relationship Id="rId7" Type="http://schemas.openxmlformats.org/officeDocument/2006/relationships/hyperlink" Target="http://laws.findlaw.com/us/524/125.html" TargetMode="External"/><Relationship Id="rId71" Type="http://schemas.openxmlformats.org/officeDocument/2006/relationships/hyperlink" Target="http://www-2.cs.cmu.edu/afs/cs/user/wbardwel/public/nfalist/state_v_swint.txt" TargetMode="External"/><Relationship Id="rId92" Type="http://schemas.openxmlformats.org/officeDocument/2006/relationships/hyperlink" Target="http://www-2.cs.cmu.edu/afs/cs/user/wbardwel/public/nfalist/salina_v_blaksley.txt" TargetMode="External"/><Relationship Id="rId2" Type="http://schemas.openxmlformats.org/officeDocument/2006/relationships/hyperlink" Target="http://caselaw.lp.findlaw.com/scripts/getcase.pl?navby=case&amp;court=us&amp;vol=395&amp;page=784" TargetMode="External"/><Relationship Id="rId16" Type="http://schemas.openxmlformats.org/officeDocument/2006/relationships/hyperlink" Target="http://caselaw.lp.findlaw.com/scripts/getcase.pl?navby=case&amp;court=us&amp;vol=501&amp;page=957" TargetMode="External"/><Relationship Id="rId29" Type="http://schemas.openxmlformats.org/officeDocument/2006/relationships/hyperlink" Target="http://caselaw.lp.findlaw.com/scripts/getcase.pl?court=ak&amp;vol=1&amp;invol=/pastapp/ap-1543" TargetMode="External"/><Relationship Id="rId11" Type="http://schemas.openxmlformats.org/officeDocument/2006/relationships/hyperlink" Target="http://caselaw.lp.findlaw.com/scripts/getcase.pl?navby=case&amp;court=us&amp;vol=501&amp;page=957" TargetMode="External"/><Relationship Id="rId24" Type="http://schemas.openxmlformats.org/officeDocument/2006/relationships/hyperlink" Target="http://caselaw.lp.findlaw.com/scripts/getcase.pl?navby=case&amp;court=us&amp;vol=501&amp;page=957" TargetMode="External"/><Relationship Id="rId32" Type="http://schemas.openxmlformats.org/officeDocument/2006/relationships/hyperlink" Target="http://caselaw.lp.findlaw.com/scripts/getcase.pl?court=az&amp;vol=app2/cr970407opn&amp;invol=2" TargetMode="External"/><Relationship Id="rId37" Type="http://schemas.openxmlformats.org/officeDocument/2006/relationships/hyperlink" Target="file:///C:\GunContr\Law%20Rev-Guns\MillerVersusTexas.htm" TargetMode="External"/><Relationship Id="rId40" Type="http://schemas.openxmlformats.org/officeDocument/2006/relationships/hyperlink" Target="http://www-2.cs.cmu.edu/afs/cs/user/wbardwel/public/nfalist/wilson_v_state2.txt" TargetMode="External"/><Relationship Id="rId45" Type="http://schemas.openxmlformats.org/officeDocument/2006/relationships/hyperlink" Target="http://www-2.cs.cmu.edu/afs/cs/user/wbardwel/public/nfalist/state_v_wilchinski.txt" TargetMode="External"/><Relationship Id="rId53" Type="http://schemas.openxmlformats.org/officeDocument/2006/relationships/hyperlink" Target="http://www.guncite.com/court/state/4ar18.html" TargetMode="External"/><Relationship Id="rId58" Type="http://schemas.openxmlformats.org/officeDocument/2006/relationships/hyperlink" Target="file:///C:\GunContr\Law%20Rev-Guns\Kopel-State%20Constitutions%20&amp;%202nd%20Amend.htm" TargetMode="External"/><Relationship Id="rId66" Type="http://schemas.openxmlformats.org/officeDocument/2006/relationships/hyperlink" Target="http://www-2.cs.cmu.edu/afs/cs/user/wbardwel/public/nfalist/state_v_jumel.txt" TargetMode="External"/><Relationship Id="rId74" Type="http://schemas.openxmlformats.org/officeDocument/2006/relationships/hyperlink" Target="http://www-2.cs.cmu.edu/afs/cs/user/wbardwel/public/nfalist/state_v_lachapelle.txt" TargetMode="External"/><Relationship Id="rId79" Type="http://schemas.openxmlformats.org/officeDocument/2006/relationships/hyperlink" Target="http://caselaw.lp.findlaw.com/scripts/getcase.pl?navby=case&amp;court=us&amp;vol=48&amp;page=1" TargetMode="External"/><Relationship Id="rId87" Type="http://schemas.openxmlformats.org/officeDocument/2006/relationships/hyperlink" Target="http://www.law.ucla.edu/faculty/volokh/beararms/statecon.htm" TargetMode="External"/><Relationship Id="rId5" Type="http://schemas.openxmlformats.org/officeDocument/2006/relationships/hyperlink" Target="http://caselaw.lp.findlaw.com/data/constitution/amendments/html" TargetMode="External"/><Relationship Id="rId61" Type="http://schemas.openxmlformats.org/officeDocument/2006/relationships/hyperlink" Target="http://www-2.cs.cmu.edu/afs/cs/user/wbardwel/public/nfalist/gaddis_v_state.txt" TargetMode="External"/><Relationship Id="rId82" Type="http://schemas.openxmlformats.org/officeDocument/2006/relationships/hyperlink" Target="http://www-2.cs.cmu.edu/afs/cs/user/wbardwel/public/nfalist/aymette_v_state.txt" TargetMode="External"/><Relationship Id="rId90" Type="http://schemas.openxmlformats.org/officeDocument/2006/relationships/hyperlink" Target="http://www.guncite.com/journals/willterr.html" TargetMode="External"/><Relationship Id="rId95" Type="http://schemas.openxmlformats.org/officeDocument/2006/relationships/hyperlink" Target="http://www-2.cs.cmu.edu/afs/cs/user/wbardwel/public/nfalist/bliss_v_commonwealth.txt" TargetMode="External"/><Relationship Id="rId19" Type="http://schemas.openxmlformats.org/officeDocument/2006/relationships/hyperlink" Target="http://caselaw.lp.findlaw.com/scripts/getcase.pl?navby=case&amp;court=us&amp;vol=501&amp;page=957" TargetMode="External"/><Relationship Id="rId14" Type="http://schemas.openxmlformats.org/officeDocument/2006/relationships/hyperlink" Target="http://caselaw.lp.findlaw.com/scripts/getcase.pl?navby=case&amp;court=us&amp;vol=501&amp;page=957" TargetMode="External"/><Relationship Id="rId22" Type="http://schemas.openxmlformats.org/officeDocument/2006/relationships/hyperlink" Target="http://caselaw.lp.findlaw.com/scripts/getcase.pl?navby=case&amp;court=us&amp;vol=501&amp;page=957" TargetMode="External"/><Relationship Id="rId27" Type="http://schemas.openxmlformats.org/officeDocument/2006/relationships/hyperlink" Target="http://www-2.cs.cmu.edu/afs/cs/user/wbardwel/public/nfalist/bliss_v_commonwealth.txt" TargetMode="External"/><Relationship Id="rId30" Type="http://schemas.openxmlformats.org/officeDocument/2006/relationships/hyperlink" Target="http://www-2.cs.cmu.edu/afs/cs/user/wbardwel/public/nfalist/owen_v_state.txt" TargetMode="External"/><Relationship Id="rId35" Type="http://schemas.openxmlformats.org/officeDocument/2006/relationships/hyperlink" Target="http://caselaw.lp.findlaw.com/scripts/getcase.pl?navby=case&amp;court=us&amp;vol=116&amp;page=252" TargetMode="External"/><Relationship Id="rId43" Type="http://schemas.openxmlformats.org/officeDocument/2006/relationships/hyperlink" Target="http://www-2.cs.cmu.edu/afs/cs/user/wbardwel/public/nfalist/douglass_v_kelton.txt" TargetMode="External"/><Relationship Id="rId48" Type="http://schemas.openxmlformats.org/officeDocument/2006/relationships/hyperlink" Target="http://www-2.cs.cmu.edu/afs/cs/user/wbardwel/public/nfalist/rinzler_v_carson.txt" TargetMode="External"/><Relationship Id="rId56" Type="http://schemas.openxmlformats.org/officeDocument/2006/relationships/hyperlink" Target="http://www-2.cs.cmu.edu/afs/cs/user/wbardwel/public/nfalist/state_v_hart.txt" TargetMode="External"/><Relationship Id="rId64" Type="http://schemas.openxmlformats.org/officeDocument/2006/relationships/hyperlink" Target="http://www.law.ucla.edu/faculty/volokh/beararms/statecon.htm" TargetMode="External"/><Relationship Id="rId69" Type="http://schemas.openxmlformats.org/officeDocument/2006/relationships/hyperlink" Target="http://www-2.cs.cmu.edu/afs/cs/user/wbardwel/public/nfalist/people_v_zerillo.txt" TargetMode="External"/><Relationship Id="rId77" Type="http://schemas.openxmlformats.org/officeDocument/2006/relationships/hyperlink" Target="http://www-2.cs.cmu.edu/afs/cs/user/wbardwel/public/nfalist/las_vegas_v_moberg.txt" TargetMode="External"/><Relationship Id="rId8" Type="http://schemas.openxmlformats.org/officeDocument/2006/relationships/hyperlink" Target="http://www.law.ucla.edu/faculty/volokh/beararms/statecon.htm" TargetMode="External"/><Relationship Id="rId51" Type="http://schemas.openxmlformats.org/officeDocument/2006/relationships/hyperlink" Target="http://www-2.cs.cmu.edu/afs/cs/user/wbardwel/public/nfalist/rhodes_v_rgindustries.txt" TargetMode="External"/><Relationship Id="rId72" Type="http://schemas.openxmlformats.org/officeDocument/2006/relationships/hyperlink" Target="http://caselaw.lp.findlaw.com/scripts/getcase.pl?navby=case&amp;court=us&amp;vol=92&amp;page=542" TargetMode="External"/><Relationship Id="rId80" Type="http://schemas.openxmlformats.org/officeDocument/2006/relationships/hyperlink" Target="http://www-2.cs.cmu.edu/afs/cs/user/wbardwel/public/nfalist/state_v_huntly.txt" TargetMode="External"/><Relationship Id="rId85" Type="http://schemas.openxmlformats.org/officeDocument/2006/relationships/hyperlink" Target="http://www-2.cs.cmu.edu/afs/cs/user/wbardwel/public/nfalist/cockrum_v_state.txt" TargetMode="External"/><Relationship Id="rId93" Type="http://schemas.openxmlformats.org/officeDocument/2006/relationships/hyperlink" Target="http://www.guncite.com/court/state/4ar18.html" TargetMode="External"/><Relationship Id="rId98" Type="http://schemas.openxmlformats.org/officeDocument/2006/relationships/hyperlink" Target="http://www-2.cs.cmu.edu/afs/cs/user/wbardwel/public/nfalist/commonwealth_v_davis.txt" TargetMode="External"/><Relationship Id="rId3" Type="http://schemas.openxmlformats.org/officeDocument/2006/relationships/hyperlink" Target="http://www.law.ucla.edu/faculty/volokh/beararms/statecon.htm" TargetMode="External"/><Relationship Id="rId12" Type="http://schemas.openxmlformats.org/officeDocument/2006/relationships/hyperlink" Target="http://caselaw.lp.findlaw.com/scripts/getcase.pl?navby=case&amp;court=us&amp;vol=501&amp;page=957" TargetMode="External"/><Relationship Id="rId17" Type="http://schemas.openxmlformats.org/officeDocument/2006/relationships/hyperlink" Target="http://caselaw.lp.findlaw.com/scripts/getcase.pl?navby=case&amp;court=us&amp;vol=501&amp;page=957" TargetMode="External"/><Relationship Id="rId25" Type="http://schemas.openxmlformats.org/officeDocument/2006/relationships/hyperlink" Target="http://caselaw.lp.findlaw.com/scripts/getcase.pl?navby=case&amp;court=us&amp;vol=501&amp;page=957" TargetMode="External"/><Relationship Id="rId33" Type="http://schemas.openxmlformats.org/officeDocument/2006/relationships/hyperlink" Target="http://caselaw.lp.findlaw.com/scripts/getcase.pl?court=az&amp;vol=app2/cr970407opn&amp;invol=2" TargetMode="External"/><Relationship Id="rId38" Type="http://schemas.openxmlformats.org/officeDocument/2006/relationships/hyperlink" Target="http://www.guncite.com/court/state/4ar18.html" TargetMode="External"/><Relationship Id="rId46" Type="http://schemas.openxmlformats.org/officeDocument/2006/relationships/hyperlink" Target="http://www-2.cs.cmu.edu/afs/cs/user/wbardwel/public/nfalist/benjamin_v_bailey.txt" TargetMode="External"/><Relationship Id="rId59" Type="http://schemas.openxmlformats.org/officeDocument/2006/relationships/hyperlink" Target="http://www-2.cs.cmu.edu/afs/cs/user/wbardwel/public/nfalist/kellogg_v_gary.txt" TargetMode="External"/><Relationship Id="rId67" Type="http://schemas.openxmlformats.org/officeDocument/2006/relationships/hyperlink" Target="http://www-2.cs.cmu.edu/afs/cs/user/wbardwel/public/nfalist/state_v_smith2.txt" TargetMode="External"/><Relationship Id="rId20" Type="http://schemas.openxmlformats.org/officeDocument/2006/relationships/hyperlink" Target="http://www.law.ucla.edu/faculty/volokh/beararms/statecon.htm" TargetMode="External"/><Relationship Id="rId41" Type="http://schemas.openxmlformats.org/officeDocument/2006/relationships/hyperlink" Target="http://caselaw.lp.findlaw.com/scripts/getcase.pl?navby=case&amp;court=us&amp;vol=307&amp;page=174" TargetMode="External"/><Relationship Id="rId54" Type="http://schemas.openxmlformats.org/officeDocument/2006/relationships/hyperlink" Target="file:///C:\GunContr\Law%20Rev-Guns\19thcentury.htm" TargetMode="External"/><Relationship Id="rId62" Type="http://schemas.openxmlformats.org/officeDocument/2006/relationships/hyperlink" Target="http://www-2.cs.cmu.edu/afs/cs/user/wbardwel/public/nfalist/mcintyre_v_state.txt" TargetMode="External"/><Relationship Id="rId70" Type="http://schemas.openxmlformats.org/officeDocument/2006/relationships/hyperlink" Target="http://www-2.cs.cmu.edu/afs/cs/user/wbardwel/public/nfalist/people_v_brown.txt" TargetMode="External"/><Relationship Id="rId75" Type="http://schemas.openxmlformats.org/officeDocument/2006/relationships/hyperlink" Target="http://www.guncite.com/journals/maltrad.html" TargetMode="External"/><Relationship Id="rId83" Type="http://schemas.openxmlformats.org/officeDocument/2006/relationships/hyperlink" Target="http://www-2.cs.cmu.edu/afs/cs/user/wbardwel/public/nfalist/smith_v_ishenhour.txt" TargetMode="External"/><Relationship Id="rId88" Type="http://schemas.openxmlformats.org/officeDocument/2006/relationships/hyperlink" Target="http://www.legis.state.wi.us/leginfo/ref_cbc.pdf" TargetMode="External"/><Relationship Id="rId91" Type="http://schemas.openxmlformats.org/officeDocument/2006/relationships/hyperlink" Target="http://www-2.cs.cmu.edu/afs/cs/user/wbardwel/public/nfalist/salina_v_blaksley.txt" TargetMode="External"/><Relationship Id="rId96" Type="http://schemas.openxmlformats.org/officeDocument/2006/relationships/hyperlink" Target="file:///C:\GunContr\Law%20Rev-Guns\Kopel-State%20Constitutions%20&amp;%202nd%20Amend.htm" TargetMode="External"/><Relationship Id="rId1" Type="http://schemas.openxmlformats.org/officeDocument/2006/relationships/hyperlink" Target="http://caselaw.lp.findlaw.com/scripts/getcase.pl?navby=case&amp;court=us&amp;vol=501&amp;page=957" TargetMode="External"/><Relationship Id="rId6" Type="http://schemas.openxmlformats.org/officeDocument/2006/relationships/hyperlink" Target="http://www-2.cs.cmu.edu/afs/cs/user/wbardwel/public/nfalist/ortiz_v_commonwealth.txt" TargetMode="External"/><Relationship Id="rId15" Type="http://schemas.openxmlformats.org/officeDocument/2006/relationships/hyperlink" Target="http://caselaw.lp.findlaw.com/scripts/getcase.pl?navby=case&amp;court=us&amp;vol=501&amp;page=957" TargetMode="External"/><Relationship Id="rId23" Type="http://schemas.openxmlformats.org/officeDocument/2006/relationships/hyperlink" Target="http://caselaw.lp.findlaw.com/scripts/getcase.pl?navby=case&amp;court=us&amp;vol=501&amp;page=957" TargetMode="External"/><Relationship Id="rId28" Type="http://schemas.openxmlformats.org/officeDocument/2006/relationships/hyperlink" Target="file:///C:\GunContr\Law%20Rev-Guns\Kopel-State%20Constitutions%20&amp;%202nd%20Amend.htm" TargetMode="External"/><Relationship Id="rId36" Type="http://schemas.openxmlformats.org/officeDocument/2006/relationships/hyperlink" Target="http://caselaw.lp.findlaw.com/scripts/getcase.pl?navby=case&amp;court=us&amp;vol=116&amp;page=252" TargetMode="External"/><Relationship Id="rId49" Type="http://schemas.openxmlformats.org/officeDocument/2006/relationships/hyperlink" Target="http://www-2.cs.cmu.edu/afs/cs/user/wbardwel/public/nfalist/carlton_v_state.txt" TargetMode="External"/><Relationship Id="rId57" Type="http://schemas.openxmlformats.org/officeDocument/2006/relationships/hyperlink" Target="http://www-2.cs.cmu.edu/afs/cs/user/wbardwel/public/nfalist/state_v_woodward.txt" TargetMode="External"/><Relationship Id="rId10" Type="http://schemas.openxmlformats.org/officeDocument/2006/relationships/hyperlink" Target="http://www.law.ucla.edu/faculty/volokh/beararms/statecon.htm" TargetMode="External"/><Relationship Id="rId31" Type="http://schemas.openxmlformats.org/officeDocument/2006/relationships/hyperlink" Target="http://www-2.cs.cmu.edu/afs/cs/user/wbardwel/public/nfalist/state_v_reid.txt" TargetMode="External"/><Relationship Id="rId44" Type="http://schemas.openxmlformats.org/officeDocument/2006/relationships/hyperlink" Target="http://www-2.cs.cmu.edu/afs/cs/user/wbardwel/public/nfalist/hilberg_v_woolworth.txt" TargetMode="External"/><Relationship Id="rId52" Type="http://schemas.openxmlformats.org/officeDocument/2006/relationships/hyperlink" Target="http://www-2.cs.cmu.edu/afs/cs/user/wbardwel/public/nfalist/nunn_v_state.txt" TargetMode="External"/><Relationship Id="rId60" Type="http://schemas.openxmlformats.org/officeDocument/2006/relationships/hyperlink" Target="http://www-2.cs.cmu.edu/afs/cs/user/wbardwel/public/nfalist/kellogg_v_gary.txt" TargetMode="External"/><Relationship Id="rId65" Type="http://schemas.openxmlformats.org/officeDocument/2006/relationships/hyperlink" Target="http://www-2.cs.cmu.edu/afs/cs/user/wbardwel/public/nfalist/state_v_hamlin.txt" TargetMode="External"/><Relationship Id="rId73" Type="http://schemas.openxmlformats.org/officeDocument/2006/relationships/hyperlink" Target="http://www-2.cs.cmu.edu/afs/cs/user/wbardwel/public/nfalist/kasprowicz_v_finck.txt" TargetMode="External"/><Relationship Id="rId78" Type="http://schemas.openxmlformats.org/officeDocument/2006/relationships/hyperlink" Target="http://www.law.ucla.edu/faculty/volokh/beararms/statecon.htm" TargetMode="External"/><Relationship Id="rId81" Type="http://schemas.openxmlformats.org/officeDocument/2006/relationships/hyperlink" Target="http://www-2.cs.cmu.edu/afs/cs/user/wbardwel/public/nfalist/state_v_huntly.txt" TargetMode="External"/><Relationship Id="rId86" Type="http://schemas.openxmlformats.org/officeDocument/2006/relationships/hyperlink" Target="http://www-2.cs.cmu.edu/afs/cs/user/wbardwel/public/nfalist/english_v_state.txt" TargetMode="External"/><Relationship Id="rId94" Type="http://schemas.openxmlformats.org/officeDocument/2006/relationships/hyperlink" Target="file:///C:\GunContr\Law%20Rev-Guns\Kopel-State%20Constitutions%20&amp;%202nd%20Amend.htm" TargetMode="External"/><Relationship Id="rId99" Type="http://schemas.openxmlformats.org/officeDocument/2006/relationships/hyperlink" Target="http://www-2.cs.cmu.edu/afs/cs/user/wbardwel/public/nfalist/salina_v_blaksley.txt" TargetMode="External"/><Relationship Id="rId4" Type="http://schemas.openxmlformats.org/officeDocument/2006/relationships/hyperlink" Target="http://www.law.ucla.edu/faculty/volokh/beararms/statecon.htm" TargetMode="External"/><Relationship Id="rId9" Type="http://schemas.openxmlformats.org/officeDocument/2006/relationships/hyperlink" Target="http://caselaw.lp.findlaw.com/scripts/getcase.pl?navby=case&amp;court=us&amp;vol=501&amp;page=957" TargetMode="External"/><Relationship Id="rId13" Type="http://schemas.openxmlformats.org/officeDocument/2006/relationships/hyperlink" Target="http://caselaw.lp.findlaw.com/scripts/getcase.pl?navby=case&amp;court=us&amp;vol=501&amp;page=957" TargetMode="External"/><Relationship Id="rId18" Type="http://schemas.openxmlformats.org/officeDocument/2006/relationships/hyperlink" Target="http://caselaw.lp.findlaw.com/scripts/getcase.pl?navby=case&amp;court=us&amp;vol=501&amp;page=957" TargetMode="External"/><Relationship Id="rId39" Type="http://schemas.openxmlformats.org/officeDocument/2006/relationships/hyperlink" Target="http://www-2.cs.cmu.edu/afs/cs/user/wbardwel/public/nfalist/fife_v_stat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7812</Words>
  <Characters>44530</Characters>
  <Application>Microsoft Office Word</Application>
  <DocSecurity>0</DocSecurity>
  <Lines>371</Lines>
  <Paragraphs>104</Paragraphs>
  <ScaleCrop>false</ScaleCrop>
  <Company>Home</Company>
  <LinksUpToDate>false</LinksUpToDate>
  <CharactersWithSpaces>52238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Stolfer</dc:creator>
  <cp:keywords/>
  <dc:description/>
  <cp:lastModifiedBy>Kim Stolfer</cp:lastModifiedBy>
  <cp:revision>1</cp:revision>
  <dcterms:created xsi:type="dcterms:W3CDTF">2011-12-04T06:23:00Z</dcterms:created>
  <dcterms:modified xsi:type="dcterms:W3CDTF">2011-12-04T06:29:00Z</dcterms:modified>
</cp:coreProperties>
</file>